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8B6E22" w14:textId="6325EAF2" w:rsidR="00A06DCF" w:rsidRDefault="00A06DCF" w:rsidP="00A06DCF">
      <w:pPr>
        <w:tabs>
          <w:tab w:val="center" w:pos="4536"/>
          <w:tab w:val="right" w:pos="8280"/>
          <w:tab w:val="right" w:pos="9639"/>
        </w:tabs>
        <w:ind w:right="2"/>
        <w:rPr>
          <w:rFonts w:ascii="Arial" w:hAnsi="Arial" w:cs="Arial"/>
          <w:b/>
          <w:bCs/>
        </w:rPr>
      </w:pPr>
      <w:r w:rsidRPr="00435F1E">
        <w:rPr>
          <w:rFonts w:ascii="Arial" w:hAnsi="Arial" w:cs="Arial"/>
          <w:b/>
          <w:bCs/>
        </w:rPr>
        <w:t>3GPP TSG RAN WG1 #</w:t>
      </w:r>
      <w:r>
        <w:rPr>
          <w:rFonts w:ascii="Arial" w:hAnsi="Arial" w:cs="Arial"/>
          <w:b/>
          <w:bCs/>
        </w:rPr>
        <w:t>105-e</w:t>
      </w:r>
      <w:r w:rsidRPr="00435F1E">
        <w:rPr>
          <w:rFonts w:ascii="Arial" w:hAnsi="Arial" w:cs="Arial"/>
          <w:b/>
          <w:bCs/>
        </w:rPr>
        <w:tab/>
      </w:r>
      <w:r w:rsidRPr="00435F1E">
        <w:rPr>
          <w:rFonts w:ascii="Arial" w:hAnsi="Arial" w:cs="Arial"/>
          <w:b/>
          <w:bCs/>
        </w:rPr>
        <w:tab/>
      </w:r>
      <w:r>
        <w:rPr>
          <w:rFonts w:ascii="Arial" w:hAnsi="Arial" w:cs="Arial"/>
          <w:b/>
          <w:bCs/>
        </w:rPr>
        <w:tab/>
      </w:r>
      <w:r w:rsidRPr="00871F8C">
        <w:rPr>
          <w:rFonts w:ascii="Arial" w:hAnsi="Arial" w:cs="Arial"/>
          <w:b/>
          <w:bCs/>
        </w:rPr>
        <w:t>R1-</w:t>
      </w:r>
      <w:r>
        <w:rPr>
          <w:rFonts w:ascii="Arial" w:hAnsi="Arial" w:cs="Arial"/>
          <w:b/>
          <w:bCs/>
        </w:rPr>
        <w:t>210</w:t>
      </w:r>
      <w:r w:rsidR="00723B42">
        <w:rPr>
          <w:rFonts w:ascii="Arial" w:hAnsi="Arial" w:cs="Arial"/>
          <w:b/>
          <w:bCs/>
        </w:rPr>
        <w:t>5104</w:t>
      </w:r>
    </w:p>
    <w:p w14:paraId="210CD96F" w14:textId="77777777" w:rsidR="00A06DCF" w:rsidRPr="00210D4C" w:rsidRDefault="00A06DCF" w:rsidP="00A06DCF">
      <w:pPr>
        <w:tabs>
          <w:tab w:val="center" w:pos="4536"/>
          <w:tab w:val="right" w:pos="9072"/>
        </w:tabs>
        <w:rPr>
          <w:rFonts w:ascii="Arial" w:eastAsia="MS Mincho" w:hAnsi="Arial" w:cs="Arial"/>
          <w:b/>
          <w:bCs/>
          <w:lang w:eastAsia="ja-JP"/>
        </w:rPr>
      </w:pPr>
      <w:r>
        <w:rPr>
          <w:rFonts w:ascii="Arial" w:eastAsia="MS Mincho" w:hAnsi="Arial" w:cs="Arial"/>
          <w:b/>
          <w:bCs/>
          <w:lang w:eastAsia="ja-JP"/>
        </w:rPr>
        <w:t>e-Meeting, May 10</w:t>
      </w:r>
      <w:r w:rsidRPr="007340C9">
        <w:rPr>
          <w:rFonts w:ascii="Arial" w:eastAsia="MS Mincho" w:hAnsi="Arial" w:cs="Arial"/>
          <w:b/>
          <w:bCs/>
          <w:vertAlign w:val="superscript"/>
          <w:lang w:eastAsia="ja-JP"/>
        </w:rPr>
        <w:t>th</w:t>
      </w:r>
      <w:r>
        <w:rPr>
          <w:rFonts w:ascii="Arial" w:eastAsia="MS Mincho" w:hAnsi="Arial" w:cs="Arial"/>
          <w:b/>
          <w:bCs/>
          <w:lang w:eastAsia="ja-JP"/>
        </w:rPr>
        <w:t xml:space="preserve"> – 27</w:t>
      </w:r>
      <w:r w:rsidRPr="007340C9">
        <w:rPr>
          <w:rFonts w:ascii="Arial" w:eastAsia="MS Mincho" w:hAnsi="Arial" w:cs="Arial"/>
          <w:b/>
          <w:bCs/>
          <w:vertAlign w:val="superscript"/>
          <w:lang w:eastAsia="ja-JP"/>
        </w:rPr>
        <w:t>th</w:t>
      </w:r>
      <w:r w:rsidRPr="00435F1E">
        <w:rPr>
          <w:rFonts w:ascii="Arial" w:eastAsia="MS Mincho" w:hAnsi="Arial" w:cs="Arial"/>
          <w:b/>
          <w:bCs/>
          <w:lang w:eastAsia="ja-JP"/>
        </w:rPr>
        <w:t>, 20</w:t>
      </w:r>
      <w:r>
        <w:rPr>
          <w:rFonts w:ascii="Arial" w:eastAsia="MS Mincho" w:hAnsi="Arial" w:cs="Arial"/>
          <w:b/>
          <w:bCs/>
          <w:lang w:eastAsia="ja-JP"/>
        </w:rPr>
        <w:t>21</w:t>
      </w:r>
    </w:p>
    <w:p w14:paraId="162F44E0" w14:textId="77777777" w:rsidR="00B77CEA" w:rsidRDefault="00B77CEA" w:rsidP="00311702">
      <w:pPr>
        <w:pStyle w:val="3GPPHeader"/>
      </w:pPr>
    </w:p>
    <w:p w14:paraId="5FB7E722" w14:textId="5B70EC8A" w:rsidR="00E90E49" w:rsidRPr="00764EBC" w:rsidRDefault="00E90E49" w:rsidP="00311702">
      <w:pPr>
        <w:pStyle w:val="3GPPHeader"/>
      </w:pPr>
      <w:r w:rsidRPr="00764EBC">
        <w:t>Agenda Item:</w:t>
      </w:r>
      <w:r w:rsidRPr="00764EBC">
        <w:tab/>
      </w:r>
      <w:r w:rsidR="004063E9">
        <w:t>8</w:t>
      </w:r>
      <w:r w:rsidR="0059035F">
        <w:t>.</w:t>
      </w:r>
      <w:r w:rsidR="004B7DF8">
        <w:t>4.</w:t>
      </w:r>
      <w:r w:rsidR="00D77029">
        <w:t>4</w:t>
      </w:r>
    </w:p>
    <w:p w14:paraId="2D2AF385" w14:textId="5863517E" w:rsidR="00E90E49" w:rsidRPr="00764EBC" w:rsidRDefault="003D3C45" w:rsidP="00F64C2B">
      <w:pPr>
        <w:pStyle w:val="3GPPHeader"/>
      </w:pPr>
      <w:r w:rsidRPr="00764EBC">
        <w:t>Source:</w:t>
      </w:r>
      <w:r w:rsidR="00E90E49" w:rsidRPr="00764EBC">
        <w:tab/>
      </w:r>
      <w:r w:rsidR="00F12DE8" w:rsidRPr="00764EBC">
        <w:t>Apple</w:t>
      </w:r>
    </w:p>
    <w:p w14:paraId="64D45340" w14:textId="494BFF79" w:rsidR="00531215" w:rsidRPr="00764EBC" w:rsidRDefault="003D3C45" w:rsidP="00311702">
      <w:pPr>
        <w:pStyle w:val="3GPPHeader"/>
      </w:pPr>
      <w:r w:rsidRPr="00764EBC">
        <w:t>Title:</w:t>
      </w:r>
      <w:r w:rsidR="00E90E49" w:rsidRPr="00764EBC">
        <w:tab/>
      </w:r>
      <w:r w:rsidR="00870CF0">
        <w:t xml:space="preserve">Discussions on </w:t>
      </w:r>
      <w:r w:rsidR="00D77029">
        <w:t>Other Aspects of NR</w:t>
      </w:r>
      <w:r w:rsidR="004063E9">
        <w:t xml:space="preserve"> NTN</w:t>
      </w:r>
    </w:p>
    <w:p w14:paraId="4C4FA8C4" w14:textId="77777777" w:rsidR="00E90E49" w:rsidRPr="00764EBC" w:rsidRDefault="00D52012" w:rsidP="00396685">
      <w:pPr>
        <w:pStyle w:val="3GPPHeader"/>
      </w:pPr>
      <w:r w:rsidRPr="00764EBC">
        <w:t>Document for:</w:t>
      </w:r>
      <w:r w:rsidRPr="00764EBC">
        <w:tab/>
        <w:t>Discussion/</w:t>
      </w:r>
      <w:r w:rsidR="00E90E49" w:rsidRPr="00764EBC">
        <w:t>Decision</w:t>
      </w:r>
    </w:p>
    <w:p w14:paraId="3E96BFCD" w14:textId="1C835B6A" w:rsidR="00342E02" w:rsidRDefault="00E90E49" w:rsidP="00342E02">
      <w:pPr>
        <w:pStyle w:val="Heading1"/>
      </w:pPr>
      <w:r w:rsidRPr="00A6576F">
        <w:t>Introduction</w:t>
      </w:r>
    </w:p>
    <w:p w14:paraId="20E4FA85" w14:textId="749110D9" w:rsidR="00395FA6" w:rsidRDefault="00395FA6" w:rsidP="0099637F">
      <w:pPr>
        <w:jc w:val="both"/>
      </w:pPr>
      <w:r>
        <w:t xml:space="preserve">According to NR NTN work item description </w:t>
      </w:r>
      <w:r>
        <w:fldChar w:fldCharType="begin"/>
      </w:r>
      <w:r>
        <w:instrText xml:space="preserve"> REF _Ref46861923 \r \h </w:instrText>
      </w:r>
      <w:r>
        <w:fldChar w:fldCharType="separate"/>
      </w:r>
      <w:r w:rsidR="00B77CEA">
        <w:t>[1]</w:t>
      </w:r>
      <w:r>
        <w:fldChar w:fldCharType="end"/>
      </w:r>
      <w:r>
        <w:t xml:space="preserve">, a list of RAN1 topics </w:t>
      </w:r>
      <w:r w:rsidR="0008668D">
        <w:t>is</w:t>
      </w:r>
      <w:r>
        <w:t xml:space="preserve"> to be specified if beneficial and needed. This includes enhancement on </w:t>
      </w:r>
      <w:r w:rsidR="002B6BB1">
        <w:t>polarization</w:t>
      </w:r>
      <w:r>
        <w:t xml:space="preserve">, beam management and BWP operation for NTN with frequency reuse. </w:t>
      </w:r>
    </w:p>
    <w:p w14:paraId="37BB5C96" w14:textId="77777777" w:rsidR="00395FA6" w:rsidRDefault="00395FA6" w:rsidP="0099637F">
      <w:pPr>
        <w:jc w:val="both"/>
      </w:pPr>
    </w:p>
    <w:p w14:paraId="272AE2DD" w14:textId="6ACF1A0C" w:rsidR="0099637F" w:rsidRDefault="00395FA6" w:rsidP="0099637F">
      <w:pPr>
        <w:jc w:val="both"/>
      </w:pPr>
      <w:r>
        <w:t>The discussions on these topics in RAN1 #10</w:t>
      </w:r>
      <w:r w:rsidR="00870CF0">
        <w:t>4</w:t>
      </w:r>
      <w:r>
        <w:t>-e meeting were summarized in</w:t>
      </w:r>
      <w:r w:rsidR="00870CF0">
        <w:t xml:space="preserve"> </w:t>
      </w:r>
      <w:r w:rsidR="00870CF0">
        <w:fldChar w:fldCharType="begin"/>
      </w:r>
      <w:r w:rsidR="00870CF0">
        <w:instrText xml:space="preserve"> REF _Ref60737901 \r \h </w:instrText>
      </w:r>
      <w:r w:rsidR="00870CF0">
        <w:fldChar w:fldCharType="separate"/>
      </w:r>
      <w:r w:rsidR="00B77CEA">
        <w:t>[2]</w:t>
      </w:r>
      <w:r w:rsidR="00870CF0">
        <w:fldChar w:fldCharType="end"/>
      </w:r>
      <w:r>
        <w:t>, and th</w:t>
      </w:r>
      <w:r w:rsidR="0099637F">
        <w:t>e following agreement ha</w:t>
      </w:r>
      <w:r w:rsidR="0008668D">
        <w:t>s</w:t>
      </w:r>
      <w:r w:rsidR="0099637F">
        <w:t xml:space="preserve"> been made in RAN1 </w:t>
      </w:r>
      <w:r>
        <w:t>#10</w:t>
      </w:r>
      <w:r w:rsidR="00870CF0">
        <w:t>4</w:t>
      </w:r>
      <w:r>
        <w:t xml:space="preserve">-e </w:t>
      </w:r>
      <w:r w:rsidR="0099637F">
        <w:t xml:space="preserve">meeting </w:t>
      </w:r>
      <w:r w:rsidR="0099637F">
        <w:fldChar w:fldCharType="begin"/>
      </w:r>
      <w:r w:rsidR="0099637F">
        <w:instrText xml:space="preserve"> REF _Ref49784738 \r \h </w:instrText>
      </w:r>
      <w:r w:rsidR="0099637F">
        <w:fldChar w:fldCharType="separate"/>
      </w:r>
      <w:r w:rsidR="00B77CEA">
        <w:t>[3]</w:t>
      </w:r>
      <w:r w:rsidR="0099637F">
        <w:fldChar w:fldCharType="end"/>
      </w:r>
      <w:r>
        <w:t xml:space="preserve">. </w:t>
      </w:r>
    </w:p>
    <w:p w14:paraId="58B4B259" w14:textId="77777777" w:rsidR="0099637F" w:rsidRDefault="0099637F" w:rsidP="00B42AE4">
      <w:pPr>
        <w:jc w:val="both"/>
      </w:pPr>
    </w:p>
    <w:p w14:paraId="7E3F9387" w14:textId="77777777" w:rsidR="00870CF0" w:rsidRDefault="00870CF0" w:rsidP="00870CF0">
      <w:pPr>
        <w:rPr>
          <w:bCs/>
          <w:color w:val="000000"/>
          <w:szCs w:val="20"/>
          <w:lang w:eastAsia="ko-KR"/>
        </w:rPr>
      </w:pPr>
      <w:r w:rsidRPr="00C45972">
        <w:rPr>
          <w:bCs/>
          <w:color w:val="000000"/>
          <w:szCs w:val="20"/>
          <w:highlight w:val="green"/>
          <w:lang w:eastAsia="ko-KR"/>
        </w:rPr>
        <w:t>Agreement:</w:t>
      </w:r>
    </w:p>
    <w:p w14:paraId="680B8B64" w14:textId="77777777" w:rsidR="00870CF0" w:rsidRDefault="00870CF0" w:rsidP="003226E1">
      <w:pPr>
        <w:jc w:val="both"/>
        <w:rPr>
          <w:color w:val="000000"/>
          <w:szCs w:val="20"/>
        </w:rPr>
      </w:pPr>
      <w:r>
        <w:rPr>
          <w:bCs/>
          <w:color w:val="000000"/>
          <w:szCs w:val="20"/>
          <w:lang w:eastAsia="ko-KR"/>
        </w:rPr>
        <w:t xml:space="preserve">Support </w:t>
      </w:r>
      <w:r w:rsidRPr="00C45972">
        <w:rPr>
          <w:color w:val="000000"/>
          <w:szCs w:val="20"/>
          <w:lang w:eastAsia="ko-KR"/>
        </w:rPr>
        <w:t>at least</w:t>
      </w:r>
      <w:r>
        <w:rPr>
          <w:bCs/>
          <w:color w:val="000000"/>
          <w:szCs w:val="20"/>
          <w:lang w:eastAsia="ko-KR"/>
        </w:rPr>
        <w:t xml:space="preserve"> explicit indication of polarization information for DL by the network</w:t>
      </w:r>
    </w:p>
    <w:p w14:paraId="1DEF6428" w14:textId="77777777" w:rsidR="00870CF0" w:rsidRPr="00EE34F5" w:rsidRDefault="00870CF0" w:rsidP="003226E1">
      <w:pPr>
        <w:numPr>
          <w:ilvl w:val="0"/>
          <w:numId w:val="29"/>
        </w:numPr>
        <w:jc w:val="both"/>
        <w:rPr>
          <w:szCs w:val="20"/>
        </w:rPr>
      </w:pPr>
      <w:r>
        <w:rPr>
          <w:bCs/>
          <w:color w:val="000000"/>
          <w:szCs w:val="20"/>
          <w:lang w:eastAsia="ko-KR"/>
        </w:rPr>
        <w:t>FFS: whether the indication is done by SIB, other RRC signaling, DCI</w:t>
      </w:r>
      <w:r w:rsidRPr="00EE34F5">
        <w:rPr>
          <w:bCs/>
          <w:szCs w:val="20"/>
          <w:lang w:eastAsia="ko-KR"/>
        </w:rPr>
        <w:t>.</w:t>
      </w:r>
    </w:p>
    <w:p w14:paraId="03E20A6F" w14:textId="7FFEA7ED" w:rsidR="00870CF0" w:rsidRPr="00870CF0" w:rsidRDefault="00870CF0" w:rsidP="003226E1">
      <w:pPr>
        <w:numPr>
          <w:ilvl w:val="0"/>
          <w:numId w:val="29"/>
        </w:numPr>
        <w:jc w:val="both"/>
        <w:rPr>
          <w:color w:val="000000"/>
          <w:szCs w:val="20"/>
        </w:rPr>
      </w:pPr>
      <w:r>
        <w:rPr>
          <w:bCs/>
          <w:color w:val="000000"/>
          <w:szCs w:val="20"/>
          <w:lang w:eastAsia="ko-KR"/>
        </w:rPr>
        <w:t>FFS: Whether separate signaling is needed for the UL</w:t>
      </w:r>
      <w:r>
        <w:rPr>
          <w:color w:val="000000"/>
          <w:szCs w:val="20"/>
        </w:rPr>
        <w:t xml:space="preserve"> and if so, </w:t>
      </w:r>
      <w:r>
        <w:rPr>
          <w:bCs/>
          <w:color w:val="000000"/>
          <w:szCs w:val="20"/>
          <w:lang w:eastAsia="ko-KR"/>
        </w:rPr>
        <w:t>w</w:t>
      </w:r>
      <w:r w:rsidRPr="00C45972">
        <w:rPr>
          <w:bCs/>
          <w:color w:val="000000"/>
          <w:szCs w:val="20"/>
          <w:lang w:eastAsia="ko-KR"/>
        </w:rPr>
        <w:t>hether or not a same polarization is indicated for DL and UL</w:t>
      </w:r>
    </w:p>
    <w:p w14:paraId="677D2974" w14:textId="77777777" w:rsidR="00870CF0" w:rsidRPr="00C45972" w:rsidRDefault="00870CF0" w:rsidP="00870CF0">
      <w:pPr>
        <w:ind w:left="720"/>
        <w:rPr>
          <w:color w:val="000000"/>
          <w:szCs w:val="20"/>
        </w:rPr>
      </w:pPr>
    </w:p>
    <w:p w14:paraId="399A6C42" w14:textId="77777777" w:rsidR="00870CF0" w:rsidRPr="0058565B" w:rsidRDefault="00870CF0" w:rsidP="00870CF0">
      <w:pPr>
        <w:shd w:val="clear" w:color="auto" w:fill="FFFFFF"/>
        <w:rPr>
          <w:rFonts w:eastAsia="SimSun"/>
          <w:color w:val="000000"/>
          <w:szCs w:val="20"/>
          <w:u w:val="single"/>
        </w:rPr>
      </w:pPr>
      <w:r w:rsidRPr="0058565B">
        <w:rPr>
          <w:rFonts w:eastAsia="SimSun"/>
          <w:color w:val="000000"/>
          <w:szCs w:val="20"/>
          <w:u w:val="single"/>
        </w:rPr>
        <w:t>Conclusion:</w:t>
      </w:r>
    </w:p>
    <w:p w14:paraId="7437E907" w14:textId="77777777" w:rsidR="00870CF0" w:rsidRPr="0058565B" w:rsidRDefault="00870CF0" w:rsidP="00870CF0">
      <w:pPr>
        <w:shd w:val="clear" w:color="auto" w:fill="FFFFFF"/>
        <w:rPr>
          <w:rFonts w:eastAsia="SimSun"/>
          <w:color w:val="000000"/>
          <w:szCs w:val="20"/>
        </w:rPr>
      </w:pPr>
      <w:r w:rsidRPr="0058565B">
        <w:rPr>
          <w:rFonts w:eastAsia="SimSun"/>
          <w:color w:val="000000"/>
          <w:szCs w:val="20"/>
        </w:rPr>
        <w:t>Discuss</w:t>
      </w:r>
      <w:r>
        <w:rPr>
          <w:rFonts w:eastAsia="SimSun"/>
          <w:color w:val="000000"/>
          <w:szCs w:val="20"/>
        </w:rPr>
        <w:t xml:space="preserve"> </w:t>
      </w:r>
      <w:r w:rsidRPr="0058565B">
        <w:rPr>
          <w:rFonts w:eastAsia="SimSun"/>
          <w:color w:val="000000"/>
          <w:szCs w:val="20"/>
        </w:rPr>
        <w:t>whether or not</w:t>
      </w:r>
      <w:r w:rsidRPr="0058565B">
        <w:rPr>
          <w:rFonts w:eastAsia="SimSun"/>
          <w:color w:val="FF0000"/>
          <w:szCs w:val="20"/>
        </w:rPr>
        <w:t xml:space="preserve"> </w:t>
      </w:r>
      <w:r w:rsidRPr="0058565B">
        <w:rPr>
          <w:rFonts w:eastAsia="SimSun"/>
          <w:szCs w:val="20"/>
        </w:rPr>
        <w:t>at least</w:t>
      </w:r>
      <w:r>
        <w:rPr>
          <w:rFonts w:eastAsia="SimSun"/>
          <w:szCs w:val="20"/>
        </w:rPr>
        <w:t xml:space="preserve"> </w:t>
      </w:r>
      <w:r w:rsidRPr="0058565B">
        <w:rPr>
          <w:rFonts w:eastAsia="SimSun"/>
          <w:color w:val="000000"/>
          <w:szCs w:val="20"/>
        </w:rPr>
        <w:t>following issues</w:t>
      </w:r>
      <w:r>
        <w:rPr>
          <w:rFonts w:eastAsia="SimSun"/>
          <w:color w:val="000000"/>
          <w:szCs w:val="20"/>
        </w:rPr>
        <w:t xml:space="preserve"> </w:t>
      </w:r>
      <w:r w:rsidRPr="0058565B">
        <w:rPr>
          <w:rFonts w:eastAsia="SimSun"/>
          <w:color w:val="000000"/>
          <w:szCs w:val="20"/>
        </w:rPr>
        <w:t>are valid and</w:t>
      </w:r>
      <w:r>
        <w:rPr>
          <w:rFonts w:eastAsia="SimSun"/>
          <w:color w:val="000000"/>
          <w:szCs w:val="20"/>
        </w:rPr>
        <w:t xml:space="preserve"> </w:t>
      </w:r>
      <w:r w:rsidRPr="0058565B">
        <w:rPr>
          <w:rFonts w:eastAsia="SimSun"/>
          <w:color w:val="000000"/>
          <w:szCs w:val="20"/>
        </w:rPr>
        <w:t>decide whether or not enhancements are needed in addition to</w:t>
      </w:r>
      <w:r>
        <w:rPr>
          <w:rFonts w:eastAsia="SimSun"/>
          <w:color w:val="000000"/>
          <w:szCs w:val="20"/>
        </w:rPr>
        <w:t xml:space="preserve"> </w:t>
      </w:r>
      <w:r w:rsidRPr="0058565B">
        <w:rPr>
          <w:rFonts w:eastAsia="SimSun"/>
          <w:color w:val="000000"/>
          <w:szCs w:val="20"/>
        </w:rPr>
        <w:t>current NR specification</w:t>
      </w:r>
      <w:r>
        <w:rPr>
          <w:rFonts w:eastAsia="SimSun"/>
          <w:color w:val="000000"/>
          <w:szCs w:val="20"/>
        </w:rPr>
        <w:t xml:space="preserve"> </w:t>
      </w:r>
      <w:r w:rsidRPr="0058565B">
        <w:rPr>
          <w:rFonts w:eastAsia="SimSun"/>
          <w:color w:val="000000"/>
          <w:szCs w:val="20"/>
        </w:rPr>
        <w:t>for</w:t>
      </w:r>
      <w:r>
        <w:rPr>
          <w:rFonts w:eastAsia="SimSun"/>
          <w:color w:val="000000"/>
          <w:szCs w:val="20"/>
        </w:rPr>
        <w:t xml:space="preserve"> </w:t>
      </w:r>
      <w:r w:rsidRPr="0058565B">
        <w:rPr>
          <w:rFonts w:eastAsia="SimSun"/>
          <w:color w:val="000000"/>
          <w:szCs w:val="20"/>
        </w:rPr>
        <w:t>supporting</w:t>
      </w:r>
      <w:r>
        <w:rPr>
          <w:rFonts w:eastAsia="SimSun"/>
          <w:color w:val="000000"/>
          <w:szCs w:val="20"/>
        </w:rPr>
        <w:t xml:space="preserve"> </w:t>
      </w:r>
      <w:r w:rsidRPr="0058565B">
        <w:rPr>
          <w:rFonts w:eastAsia="SimSun"/>
          <w:color w:val="000000"/>
          <w:szCs w:val="20"/>
        </w:rPr>
        <w:t>NTN beam management:</w:t>
      </w:r>
    </w:p>
    <w:p w14:paraId="1FF3B592" w14:textId="77777777" w:rsidR="00870CF0" w:rsidRPr="00870CF0" w:rsidRDefault="00870CF0" w:rsidP="003226E1">
      <w:pPr>
        <w:pStyle w:val="ListParagraph"/>
        <w:numPr>
          <w:ilvl w:val="0"/>
          <w:numId w:val="30"/>
        </w:numPr>
        <w:shd w:val="clear" w:color="auto" w:fill="FFFFFF"/>
        <w:overflowPunct w:val="0"/>
        <w:autoSpaceDE w:val="0"/>
        <w:autoSpaceDN w:val="0"/>
        <w:adjustRightInd w:val="0"/>
        <w:spacing w:after="180"/>
        <w:contextualSpacing/>
        <w:jc w:val="both"/>
        <w:textAlignment w:val="baseline"/>
        <w:rPr>
          <w:rFonts w:ascii="Times New Roman" w:hAnsi="Times New Roman"/>
          <w:color w:val="000000"/>
          <w:sz w:val="24"/>
          <w:szCs w:val="24"/>
          <w:lang w:eastAsia="zh-CN"/>
        </w:rPr>
      </w:pPr>
      <w:r w:rsidRPr="00870CF0">
        <w:rPr>
          <w:rFonts w:ascii="Times New Roman" w:hAnsi="Times New Roman"/>
          <w:color w:val="000000"/>
          <w:sz w:val="24"/>
          <w:szCs w:val="24"/>
          <w:lang w:eastAsia="zh-CN"/>
        </w:rPr>
        <w:t>Issue 1: NR BWP is not directly associated with a beam. Thus, when using TCI to change beam from beam 1 to beam 2, it does not trigger NR BWP switching. However, in NTN FRF&gt;1 case, beam switching may result in a BWP switching.</w:t>
      </w:r>
    </w:p>
    <w:p w14:paraId="6389579C" w14:textId="77777777" w:rsidR="00870CF0" w:rsidRPr="00870CF0" w:rsidRDefault="00870CF0" w:rsidP="003226E1">
      <w:pPr>
        <w:pStyle w:val="ListParagraph"/>
        <w:numPr>
          <w:ilvl w:val="0"/>
          <w:numId w:val="30"/>
        </w:numPr>
        <w:shd w:val="clear" w:color="auto" w:fill="FFFFFF"/>
        <w:overflowPunct w:val="0"/>
        <w:autoSpaceDE w:val="0"/>
        <w:autoSpaceDN w:val="0"/>
        <w:adjustRightInd w:val="0"/>
        <w:spacing w:after="180"/>
        <w:contextualSpacing/>
        <w:jc w:val="both"/>
        <w:textAlignment w:val="baseline"/>
        <w:rPr>
          <w:rFonts w:ascii="Times New Roman" w:hAnsi="Times New Roman"/>
          <w:color w:val="000000"/>
          <w:sz w:val="24"/>
          <w:szCs w:val="24"/>
          <w:lang w:eastAsia="zh-CN"/>
        </w:rPr>
      </w:pPr>
      <w:r w:rsidRPr="00870CF0">
        <w:rPr>
          <w:rFonts w:ascii="Times New Roman" w:hAnsi="Times New Roman"/>
          <w:color w:val="000000"/>
          <w:sz w:val="24"/>
          <w:szCs w:val="24"/>
          <w:lang w:eastAsia="zh-CN"/>
        </w:rPr>
        <w:t>Issue 2: NR BWP switching in UL and DL are not jointly triggered for FDD. However, in NTN FRF&gt;1 FDD scenario, beam switching may result in a BWP switching in both DL and UL.</w:t>
      </w:r>
    </w:p>
    <w:p w14:paraId="26F2F701" w14:textId="77777777" w:rsidR="00870CF0" w:rsidRPr="00870CF0" w:rsidRDefault="00870CF0" w:rsidP="003226E1">
      <w:pPr>
        <w:pStyle w:val="ListParagraph"/>
        <w:numPr>
          <w:ilvl w:val="0"/>
          <w:numId w:val="30"/>
        </w:numPr>
        <w:shd w:val="clear" w:color="auto" w:fill="FFFFFF"/>
        <w:overflowPunct w:val="0"/>
        <w:autoSpaceDE w:val="0"/>
        <w:autoSpaceDN w:val="0"/>
        <w:adjustRightInd w:val="0"/>
        <w:spacing w:after="180"/>
        <w:contextualSpacing/>
        <w:jc w:val="both"/>
        <w:textAlignment w:val="baseline"/>
        <w:rPr>
          <w:rFonts w:ascii="Times New Roman" w:hAnsi="Times New Roman"/>
          <w:color w:val="000000"/>
          <w:sz w:val="24"/>
          <w:szCs w:val="24"/>
          <w:lang w:eastAsia="zh-CN"/>
        </w:rPr>
      </w:pPr>
      <w:r w:rsidRPr="00870CF0">
        <w:rPr>
          <w:rFonts w:ascii="Times New Roman" w:hAnsi="Times New Roman"/>
          <w:color w:val="000000"/>
          <w:sz w:val="24"/>
          <w:szCs w:val="24"/>
          <w:lang w:eastAsia="zh-CN"/>
        </w:rPr>
        <w:t>Issue 3: NR dynamic BWP switching requires data scheduling. While in NTN FRF&gt;1 scenario, we may need a fast BWP switching triggering without data scheduling.</w:t>
      </w:r>
    </w:p>
    <w:p w14:paraId="51FABA74" w14:textId="77777777" w:rsidR="00870CF0" w:rsidRPr="00870CF0" w:rsidRDefault="00870CF0" w:rsidP="003226E1">
      <w:pPr>
        <w:pStyle w:val="ListParagraph"/>
        <w:numPr>
          <w:ilvl w:val="0"/>
          <w:numId w:val="30"/>
        </w:numPr>
        <w:shd w:val="clear" w:color="auto" w:fill="FFFFFF"/>
        <w:overflowPunct w:val="0"/>
        <w:autoSpaceDE w:val="0"/>
        <w:autoSpaceDN w:val="0"/>
        <w:adjustRightInd w:val="0"/>
        <w:spacing w:after="180"/>
        <w:contextualSpacing/>
        <w:jc w:val="both"/>
        <w:textAlignment w:val="baseline"/>
        <w:rPr>
          <w:rFonts w:ascii="Times New Roman" w:hAnsi="Times New Roman"/>
          <w:color w:val="000000"/>
          <w:sz w:val="24"/>
          <w:szCs w:val="24"/>
          <w:lang w:eastAsia="zh-CN"/>
        </w:rPr>
      </w:pPr>
      <w:r w:rsidRPr="00870CF0">
        <w:rPr>
          <w:rFonts w:ascii="Times New Roman" w:hAnsi="Times New Roman"/>
          <w:color w:val="000000"/>
          <w:sz w:val="24"/>
          <w:szCs w:val="24"/>
          <w:lang w:eastAsia="zh-CN"/>
        </w:rPr>
        <w:t>Issue 4: NR BWP switching does not require re-synchronization. However, in NTN FRF&gt;1 scenario, when a satellite beam switching is triggered, UE may need to perform re-synchronization in the switched BWP. </w:t>
      </w:r>
    </w:p>
    <w:p w14:paraId="1ACFCCDC" w14:textId="77777777" w:rsidR="00870CF0" w:rsidRPr="00870CF0" w:rsidRDefault="00870CF0" w:rsidP="003226E1">
      <w:pPr>
        <w:pStyle w:val="ListParagraph"/>
        <w:numPr>
          <w:ilvl w:val="0"/>
          <w:numId w:val="30"/>
        </w:numPr>
        <w:shd w:val="clear" w:color="auto" w:fill="FFFFFF"/>
        <w:overflowPunct w:val="0"/>
        <w:autoSpaceDE w:val="0"/>
        <w:autoSpaceDN w:val="0"/>
        <w:adjustRightInd w:val="0"/>
        <w:spacing w:after="180"/>
        <w:contextualSpacing/>
        <w:jc w:val="both"/>
        <w:textAlignment w:val="baseline"/>
        <w:rPr>
          <w:rFonts w:ascii="Times New Roman" w:hAnsi="Times New Roman"/>
          <w:color w:val="000000"/>
          <w:sz w:val="24"/>
          <w:szCs w:val="24"/>
          <w:lang w:eastAsia="zh-CN"/>
        </w:rPr>
      </w:pPr>
      <w:r w:rsidRPr="00870CF0">
        <w:rPr>
          <w:rFonts w:ascii="Times New Roman" w:hAnsi="Times New Roman"/>
          <w:color w:val="000000"/>
          <w:sz w:val="24"/>
          <w:szCs w:val="24"/>
          <w:lang w:eastAsia="zh-CN"/>
        </w:rPr>
        <w:t>Issue 5: Since satellite beam switching can be frequent and often highly predictable, mechanisms of configured BWP switching (can be a sequence of BWPs) may be preferred but current NR does not allow it.</w:t>
      </w:r>
    </w:p>
    <w:p w14:paraId="30F2C9CC" w14:textId="77777777" w:rsidR="00870CF0" w:rsidRPr="00870CF0" w:rsidRDefault="00870CF0" w:rsidP="003226E1">
      <w:pPr>
        <w:pStyle w:val="ListParagraph"/>
        <w:numPr>
          <w:ilvl w:val="0"/>
          <w:numId w:val="30"/>
        </w:numPr>
        <w:shd w:val="clear" w:color="auto" w:fill="FFFFFF"/>
        <w:overflowPunct w:val="0"/>
        <w:autoSpaceDE w:val="0"/>
        <w:autoSpaceDN w:val="0"/>
        <w:adjustRightInd w:val="0"/>
        <w:spacing w:after="180"/>
        <w:contextualSpacing/>
        <w:jc w:val="both"/>
        <w:textAlignment w:val="baseline"/>
        <w:rPr>
          <w:rFonts w:ascii="Times New Roman" w:hAnsi="Times New Roman"/>
          <w:color w:val="000000"/>
          <w:sz w:val="24"/>
          <w:szCs w:val="24"/>
          <w:lang w:eastAsia="zh-CN"/>
        </w:rPr>
      </w:pPr>
      <w:r w:rsidRPr="00870CF0">
        <w:rPr>
          <w:rFonts w:ascii="Times New Roman" w:hAnsi="Times New Roman"/>
          <w:color w:val="000000"/>
          <w:sz w:val="24"/>
          <w:szCs w:val="24"/>
          <w:lang w:eastAsia="zh-CN"/>
        </w:rPr>
        <w:t>Issue 6: How to deal with BWP switching triggered by </w:t>
      </w:r>
      <w:proofErr w:type="spellStart"/>
      <w:r w:rsidRPr="00870CF0">
        <w:rPr>
          <w:rFonts w:ascii="Times New Roman" w:hAnsi="Times New Roman"/>
          <w:color w:val="000000"/>
          <w:sz w:val="24"/>
          <w:szCs w:val="24"/>
          <w:lang w:eastAsia="zh-CN"/>
        </w:rPr>
        <w:t>bwpInactivityTimer</w:t>
      </w:r>
      <w:proofErr w:type="spellEnd"/>
      <w:r w:rsidRPr="00870CF0">
        <w:rPr>
          <w:rFonts w:ascii="Times New Roman" w:hAnsi="Times New Roman"/>
          <w:color w:val="000000"/>
          <w:sz w:val="24"/>
          <w:szCs w:val="24"/>
          <w:lang w:eastAsia="zh-CN"/>
        </w:rPr>
        <w:t>, RA procedure, or simply a need to increase throughput instead of for beam-level mobility.</w:t>
      </w:r>
    </w:p>
    <w:p w14:paraId="6D346196" w14:textId="77777777" w:rsidR="00870CF0" w:rsidRPr="00870CF0" w:rsidRDefault="00870CF0" w:rsidP="003226E1">
      <w:pPr>
        <w:pStyle w:val="ListParagraph"/>
        <w:numPr>
          <w:ilvl w:val="0"/>
          <w:numId w:val="30"/>
        </w:numPr>
        <w:shd w:val="clear" w:color="auto" w:fill="FFFFFF"/>
        <w:overflowPunct w:val="0"/>
        <w:autoSpaceDE w:val="0"/>
        <w:autoSpaceDN w:val="0"/>
        <w:adjustRightInd w:val="0"/>
        <w:spacing w:after="180"/>
        <w:contextualSpacing/>
        <w:jc w:val="both"/>
        <w:textAlignment w:val="baseline"/>
        <w:rPr>
          <w:rFonts w:ascii="Times New Roman" w:hAnsi="Times New Roman"/>
          <w:color w:val="000000"/>
          <w:sz w:val="24"/>
          <w:szCs w:val="24"/>
          <w:lang w:eastAsia="zh-CN"/>
        </w:rPr>
      </w:pPr>
      <w:r w:rsidRPr="00870CF0">
        <w:rPr>
          <w:rFonts w:ascii="Times New Roman" w:hAnsi="Times New Roman"/>
          <w:color w:val="000000"/>
          <w:sz w:val="24"/>
          <w:szCs w:val="24"/>
          <w:lang w:eastAsia="zh-CN"/>
        </w:rPr>
        <w:t xml:space="preserve">Issue 7: NR BWP switching/beam switching is done with UE specific </w:t>
      </w:r>
      <w:proofErr w:type="spellStart"/>
      <w:r w:rsidRPr="00870CF0">
        <w:rPr>
          <w:rFonts w:ascii="Times New Roman" w:hAnsi="Times New Roman"/>
          <w:color w:val="000000"/>
          <w:sz w:val="24"/>
          <w:szCs w:val="24"/>
          <w:lang w:eastAsia="zh-CN"/>
        </w:rPr>
        <w:t>signalling</w:t>
      </w:r>
      <w:proofErr w:type="spellEnd"/>
      <w:r w:rsidRPr="00870CF0">
        <w:rPr>
          <w:rFonts w:ascii="Times New Roman" w:hAnsi="Times New Roman"/>
          <w:color w:val="000000"/>
          <w:sz w:val="24"/>
          <w:szCs w:val="24"/>
          <w:lang w:eastAsia="zh-CN"/>
        </w:rPr>
        <w:t xml:space="preserve"> due to UE </w:t>
      </w:r>
      <w:proofErr w:type="gramStart"/>
      <w:r w:rsidRPr="00870CF0">
        <w:rPr>
          <w:rFonts w:ascii="Times New Roman" w:hAnsi="Times New Roman"/>
          <w:color w:val="000000"/>
          <w:sz w:val="24"/>
          <w:szCs w:val="24"/>
          <w:lang w:eastAsia="zh-CN"/>
        </w:rPr>
        <w:t>movement’s</w:t>
      </w:r>
      <w:proofErr w:type="gramEnd"/>
      <w:r w:rsidRPr="00870CF0">
        <w:rPr>
          <w:rFonts w:ascii="Times New Roman" w:hAnsi="Times New Roman"/>
          <w:color w:val="000000"/>
          <w:sz w:val="24"/>
          <w:szCs w:val="24"/>
          <w:lang w:eastAsia="zh-CN"/>
        </w:rPr>
        <w:t xml:space="preserve">. However, in NTN scenario, a satellite BWP/beam switching is common for set of UEs, we may need to a common BWP/beam switching mechanism to save the </w:t>
      </w:r>
      <w:proofErr w:type="spellStart"/>
      <w:r w:rsidRPr="00870CF0">
        <w:rPr>
          <w:rFonts w:ascii="Times New Roman" w:hAnsi="Times New Roman"/>
          <w:color w:val="000000"/>
          <w:sz w:val="24"/>
          <w:szCs w:val="24"/>
          <w:lang w:eastAsia="zh-CN"/>
        </w:rPr>
        <w:t>signalling</w:t>
      </w:r>
      <w:proofErr w:type="spellEnd"/>
      <w:r w:rsidRPr="00870CF0">
        <w:rPr>
          <w:rFonts w:ascii="Times New Roman" w:hAnsi="Times New Roman"/>
          <w:color w:val="000000"/>
          <w:sz w:val="24"/>
          <w:szCs w:val="24"/>
          <w:lang w:eastAsia="zh-CN"/>
        </w:rPr>
        <w:t xml:space="preserve"> overhead.</w:t>
      </w:r>
    </w:p>
    <w:p w14:paraId="0D90A677" w14:textId="77777777" w:rsidR="00870CF0" w:rsidRPr="0058565B" w:rsidRDefault="00870CF0" w:rsidP="003226E1">
      <w:pPr>
        <w:shd w:val="clear" w:color="auto" w:fill="FFFFFF"/>
        <w:jc w:val="both"/>
        <w:rPr>
          <w:rFonts w:eastAsia="SimSun"/>
          <w:color w:val="000000"/>
          <w:szCs w:val="20"/>
          <w:u w:val="single"/>
        </w:rPr>
      </w:pPr>
      <w:r w:rsidRPr="0058565B">
        <w:rPr>
          <w:rFonts w:eastAsia="SimSun"/>
          <w:color w:val="000000"/>
          <w:szCs w:val="20"/>
          <w:u w:val="single"/>
        </w:rPr>
        <w:lastRenderedPageBreak/>
        <w:t>Conclusion:</w:t>
      </w:r>
    </w:p>
    <w:p w14:paraId="014ED729" w14:textId="77777777" w:rsidR="00870CF0" w:rsidRPr="0058565B" w:rsidRDefault="00870CF0" w:rsidP="003226E1">
      <w:pPr>
        <w:shd w:val="clear" w:color="auto" w:fill="FFFFFF"/>
        <w:jc w:val="both"/>
        <w:rPr>
          <w:rFonts w:eastAsia="SimSun"/>
          <w:color w:val="000000"/>
          <w:szCs w:val="20"/>
        </w:rPr>
      </w:pPr>
      <w:r w:rsidRPr="0058565B">
        <w:rPr>
          <w:rFonts w:eastAsia="SimSun"/>
          <w:color w:val="000000"/>
          <w:szCs w:val="20"/>
        </w:rPr>
        <w:t>Discuss the</w:t>
      </w:r>
      <w:r>
        <w:rPr>
          <w:rFonts w:eastAsia="SimSun"/>
          <w:color w:val="000000"/>
          <w:szCs w:val="20"/>
        </w:rPr>
        <w:t xml:space="preserve"> </w:t>
      </w:r>
      <w:r w:rsidRPr="0058565B">
        <w:rPr>
          <w:rFonts w:eastAsia="SimSun"/>
          <w:color w:val="000000"/>
          <w:szCs w:val="20"/>
        </w:rPr>
        <w:t>necessity</w:t>
      </w:r>
      <w:r>
        <w:rPr>
          <w:rFonts w:eastAsia="SimSun"/>
          <w:color w:val="000000"/>
          <w:szCs w:val="20"/>
        </w:rPr>
        <w:t xml:space="preserve"> </w:t>
      </w:r>
      <w:r w:rsidRPr="0058565B">
        <w:rPr>
          <w:rFonts w:eastAsia="SimSun"/>
          <w:color w:val="000000"/>
          <w:szCs w:val="20"/>
        </w:rPr>
        <w:t>of reporting UE polarization capability</w:t>
      </w:r>
      <w:r>
        <w:rPr>
          <w:rFonts w:eastAsia="SimSun"/>
          <w:color w:val="000000"/>
          <w:szCs w:val="20"/>
        </w:rPr>
        <w:t xml:space="preserve"> </w:t>
      </w:r>
      <w:r w:rsidRPr="0058565B">
        <w:rPr>
          <w:rFonts w:eastAsia="SimSun"/>
          <w:color w:val="000000"/>
          <w:szCs w:val="20"/>
        </w:rPr>
        <w:t>considering at least</w:t>
      </w:r>
      <w:r>
        <w:rPr>
          <w:rFonts w:eastAsia="SimSun"/>
          <w:color w:val="000000"/>
          <w:szCs w:val="20"/>
        </w:rPr>
        <w:t xml:space="preserve"> </w:t>
      </w:r>
      <w:r w:rsidRPr="0058565B">
        <w:rPr>
          <w:rFonts w:eastAsia="SimSun"/>
          <w:color w:val="000000"/>
          <w:szCs w:val="20"/>
        </w:rPr>
        <w:t>following aspects, </w:t>
      </w:r>
    </w:p>
    <w:p w14:paraId="48A0EEA6" w14:textId="77777777" w:rsidR="00870CF0" w:rsidRPr="0058565B" w:rsidRDefault="00870CF0" w:rsidP="003226E1">
      <w:pPr>
        <w:numPr>
          <w:ilvl w:val="0"/>
          <w:numId w:val="31"/>
        </w:numPr>
        <w:shd w:val="clear" w:color="auto" w:fill="FFFFFF"/>
        <w:jc w:val="both"/>
        <w:rPr>
          <w:rFonts w:eastAsia="SimSun"/>
          <w:color w:val="000000"/>
          <w:szCs w:val="20"/>
        </w:rPr>
      </w:pPr>
      <w:r w:rsidRPr="0058565B">
        <w:rPr>
          <w:rFonts w:eastAsia="SimSun"/>
          <w:color w:val="000000"/>
          <w:szCs w:val="20"/>
        </w:rPr>
        <w:t>Deployment scenarios.</w:t>
      </w:r>
    </w:p>
    <w:p w14:paraId="60F03D55" w14:textId="77777777" w:rsidR="00870CF0" w:rsidRPr="0058565B" w:rsidRDefault="00870CF0" w:rsidP="003226E1">
      <w:pPr>
        <w:numPr>
          <w:ilvl w:val="0"/>
          <w:numId w:val="31"/>
        </w:numPr>
        <w:shd w:val="clear" w:color="auto" w:fill="FFFFFF"/>
        <w:jc w:val="both"/>
        <w:rPr>
          <w:rFonts w:eastAsia="SimSun"/>
          <w:color w:val="000000"/>
          <w:szCs w:val="20"/>
        </w:rPr>
      </w:pPr>
      <w:r w:rsidRPr="0058565B">
        <w:rPr>
          <w:rFonts w:eastAsia="SimSun"/>
          <w:color w:val="000000"/>
          <w:szCs w:val="20"/>
        </w:rPr>
        <w:t>UE implementation aspects with respect to polarization.</w:t>
      </w:r>
    </w:p>
    <w:p w14:paraId="7B6DC1D0" w14:textId="77777777" w:rsidR="00870CF0" w:rsidRPr="0058565B" w:rsidRDefault="00870CF0" w:rsidP="003226E1">
      <w:pPr>
        <w:numPr>
          <w:ilvl w:val="0"/>
          <w:numId w:val="31"/>
        </w:numPr>
        <w:shd w:val="clear" w:color="auto" w:fill="FFFFFF"/>
        <w:jc w:val="both"/>
        <w:rPr>
          <w:rFonts w:eastAsia="SimSun"/>
          <w:color w:val="000000"/>
          <w:szCs w:val="20"/>
        </w:rPr>
      </w:pPr>
      <w:r w:rsidRPr="0058565B">
        <w:rPr>
          <w:rFonts w:eastAsia="SimSun"/>
          <w:color w:val="000000"/>
          <w:szCs w:val="20"/>
        </w:rPr>
        <w:t>Satellite implementation aspects for switching between polarization states.</w:t>
      </w:r>
    </w:p>
    <w:p w14:paraId="3CB143E5" w14:textId="77777777" w:rsidR="00870CF0" w:rsidRPr="0058565B" w:rsidRDefault="00870CF0" w:rsidP="003226E1">
      <w:pPr>
        <w:numPr>
          <w:ilvl w:val="0"/>
          <w:numId w:val="31"/>
        </w:numPr>
        <w:shd w:val="clear" w:color="auto" w:fill="FFFFFF"/>
        <w:jc w:val="both"/>
        <w:rPr>
          <w:rFonts w:eastAsia="SimSun"/>
          <w:color w:val="000000"/>
          <w:szCs w:val="20"/>
        </w:rPr>
      </w:pPr>
      <w:r w:rsidRPr="0058565B">
        <w:rPr>
          <w:rFonts w:eastAsia="SimSun"/>
          <w:color w:val="000000"/>
          <w:szCs w:val="20"/>
        </w:rPr>
        <w:t>Satellite implementation aspects for realizing multiplexing of UEs having different polarization capabilities.</w:t>
      </w:r>
    </w:p>
    <w:p w14:paraId="30672A21" w14:textId="6AB6225D" w:rsidR="00EC0D2F" w:rsidRPr="00E75532" w:rsidRDefault="00EC0D2F" w:rsidP="00416D56">
      <w:pPr>
        <w:jc w:val="both"/>
        <w:rPr>
          <w:szCs w:val="20"/>
        </w:rPr>
      </w:pPr>
    </w:p>
    <w:p w14:paraId="05E5CF06" w14:textId="47AC38CF" w:rsidR="001E7281" w:rsidRPr="009C0798" w:rsidRDefault="00EC0D2F" w:rsidP="009C0798">
      <w:pPr>
        <w:spacing w:after="180"/>
        <w:contextualSpacing/>
        <w:jc w:val="both"/>
        <w:rPr>
          <w:szCs w:val="20"/>
        </w:rPr>
      </w:pPr>
      <w:r>
        <w:rPr>
          <w:szCs w:val="20"/>
        </w:rPr>
        <w:t xml:space="preserve">In this contribution, we </w:t>
      </w:r>
      <w:r w:rsidR="009C0798">
        <w:rPr>
          <w:szCs w:val="20"/>
        </w:rPr>
        <w:t>provide our views on</w:t>
      </w:r>
      <w:r w:rsidR="0099637F">
        <w:rPr>
          <w:szCs w:val="20"/>
        </w:rPr>
        <w:t xml:space="preserve"> </w:t>
      </w:r>
      <w:r w:rsidR="004544A0">
        <w:rPr>
          <w:szCs w:val="20"/>
        </w:rPr>
        <w:t xml:space="preserve">the </w:t>
      </w:r>
      <w:r w:rsidR="00BE622F">
        <w:rPr>
          <w:szCs w:val="20"/>
        </w:rPr>
        <w:t>potential beam management enhancement</w:t>
      </w:r>
      <w:r w:rsidR="00F7060A">
        <w:rPr>
          <w:szCs w:val="20"/>
        </w:rPr>
        <w:t xml:space="preserve"> and signaling of polarization information</w:t>
      </w:r>
      <w:r>
        <w:rPr>
          <w:szCs w:val="20"/>
        </w:rPr>
        <w:t>.</w:t>
      </w:r>
    </w:p>
    <w:p w14:paraId="407F451F" w14:textId="4770A02B" w:rsidR="00416D56" w:rsidRDefault="00EA5A5B" w:rsidP="00416D56">
      <w:pPr>
        <w:pStyle w:val="Heading1"/>
      </w:pPr>
      <w:r>
        <w:t>Discussion</w:t>
      </w:r>
    </w:p>
    <w:p w14:paraId="3A9D54DF" w14:textId="4EEC9A55" w:rsidR="00C06169" w:rsidRDefault="000A53AC" w:rsidP="00870CF0">
      <w:pPr>
        <w:jc w:val="both"/>
        <w:rPr>
          <w:bCs/>
          <w:iCs/>
        </w:rPr>
      </w:pPr>
      <w:r>
        <w:rPr>
          <w:bCs/>
          <w:iCs/>
        </w:rPr>
        <w:t xml:space="preserve">In NR terrestrial network, beams are represented in TCI states. A TCI state configuration includes </w:t>
      </w:r>
      <w:r w:rsidR="00C06169">
        <w:rPr>
          <w:bCs/>
          <w:iCs/>
        </w:rPr>
        <w:t xml:space="preserve">the </w:t>
      </w:r>
      <w:r>
        <w:rPr>
          <w:bCs/>
          <w:iCs/>
        </w:rPr>
        <w:t>cell</w:t>
      </w:r>
      <w:r w:rsidR="00C06169">
        <w:rPr>
          <w:bCs/>
          <w:iCs/>
        </w:rPr>
        <w:t xml:space="preserve"> and BWP</w:t>
      </w:r>
      <w:r>
        <w:rPr>
          <w:bCs/>
          <w:iCs/>
        </w:rPr>
        <w:t xml:space="preserve"> </w:t>
      </w:r>
      <w:r w:rsidR="00C06169">
        <w:rPr>
          <w:bCs/>
          <w:iCs/>
        </w:rPr>
        <w:t xml:space="preserve">of the reference signal, reference signal index, and the QCL type with the reference signal. The beam switching is achieved by TCI indication, e.g., via DCI or MAC CE. </w:t>
      </w:r>
      <w:r w:rsidR="0031571D">
        <w:rPr>
          <w:bCs/>
          <w:iCs/>
        </w:rPr>
        <w:t>For example, DCI 1_1</w:t>
      </w:r>
      <w:r w:rsidR="00FA4B6B">
        <w:rPr>
          <w:bCs/>
          <w:iCs/>
        </w:rPr>
        <w:t xml:space="preserve"> contains a field of “</w:t>
      </w:r>
      <w:r w:rsidR="00FA4B6B" w:rsidRPr="00FA4B6B">
        <w:rPr>
          <w:bCs/>
          <w:iCs/>
        </w:rPr>
        <w:t>Transmission configuration indication</w:t>
      </w:r>
      <w:r w:rsidR="00FA4B6B">
        <w:rPr>
          <w:bCs/>
          <w:iCs/>
        </w:rPr>
        <w:t xml:space="preserve">” to switch the PDSCH reception beam. MAC CE of “Indication of TCI state for UE-specific PDCCH” or “Activation/deactivation of UE-specific PDSCH TCI state” is used to switch PDCCH or PDSCH reception beam. </w:t>
      </w:r>
    </w:p>
    <w:p w14:paraId="7FB29235" w14:textId="009FE4FB" w:rsidR="00C06169" w:rsidRDefault="00C06169" w:rsidP="00870CF0">
      <w:pPr>
        <w:jc w:val="both"/>
        <w:rPr>
          <w:bCs/>
          <w:iCs/>
        </w:rPr>
      </w:pPr>
    </w:p>
    <w:p w14:paraId="0581CE4A" w14:textId="789FD990" w:rsidR="00160485" w:rsidRDefault="00C06169" w:rsidP="00870CF0">
      <w:pPr>
        <w:jc w:val="both"/>
        <w:rPr>
          <w:bCs/>
          <w:iCs/>
        </w:rPr>
      </w:pPr>
      <w:r>
        <w:rPr>
          <w:bCs/>
          <w:iCs/>
        </w:rPr>
        <w:t>In NR terrestrial network, a UE can be configured with up to 4 DL BWPs and up to 4 UL BWPs. Each BWP configuration include</w:t>
      </w:r>
      <w:r w:rsidR="006F64BA">
        <w:rPr>
          <w:bCs/>
          <w:iCs/>
        </w:rPr>
        <w:t>s</w:t>
      </w:r>
      <w:r>
        <w:rPr>
          <w:bCs/>
          <w:iCs/>
        </w:rPr>
        <w:t xml:space="preserve"> frequency location and bandwidth. One motivation of introducing BWP in NR is to reduce UE’s power consumption when there is no active data communication. </w:t>
      </w:r>
      <w:r w:rsidR="00600783">
        <w:rPr>
          <w:bCs/>
          <w:iCs/>
        </w:rPr>
        <w:t>A cell specific DL</w:t>
      </w:r>
      <w:r>
        <w:rPr>
          <w:bCs/>
          <w:iCs/>
        </w:rPr>
        <w:t xml:space="preserve"> BWP </w:t>
      </w:r>
      <w:r w:rsidR="00600783">
        <w:rPr>
          <w:bCs/>
          <w:iCs/>
        </w:rPr>
        <w:t>is</w:t>
      </w:r>
      <w:r>
        <w:rPr>
          <w:bCs/>
          <w:iCs/>
        </w:rPr>
        <w:t xml:space="preserve"> configured</w:t>
      </w:r>
      <w:r w:rsidR="00600783">
        <w:rPr>
          <w:bCs/>
          <w:iCs/>
        </w:rPr>
        <w:t xml:space="preserve"> by </w:t>
      </w:r>
      <w:r w:rsidR="00600783" w:rsidRPr="00600783">
        <w:rPr>
          <w:bCs/>
          <w:i/>
        </w:rPr>
        <w:t>BWP-</w:t>
      </w:r>
      <w:proofErr w:type="spellStart"/>
      <w:r w:rsidR="00600783" w:rsidRPr="00600783">
        <w:rPr>
          <w:bCs/>
          <w:i/>
        </w:rPr>
        <w:t>DownlinkCommon</w:t>
      </w:r>
      <w:proofErr w:type="spellEnd"/>
      <w:r w:rsidR="00600783">
        <w:rPr>
          <w:bCs/>
          <w:iCs/>
        </w:rPr>
        <w:t xml:space="preserve"> and a UE specific DL BWP is configured by </w:t>
      </w:r>
      <w:r w:rsidR="00600783" w:rsidRPr="00600783">
        <w:rPr>
          <w:bCs/>
          <w:i/>
        </w:rPr>
        <w:t>BWP-</w:t>
      </w:r>
      <w:proofErr w:type="spellStart"/>
      <w:r w:rsidR="00600783" w:rsidRPr="00600783">
        <w:rPr>
          <w:bCs/>
          <w:i/>
        </w:rPr>
        <w:t>Downlink</w:t>
      </w:r>
      <w:r w:rsidR="00600783">
        <w:rPr>
          <w:bCs/>
          <w:i/>
        </w:rPr>
        <w:t>Dedidcated</w:t>
      </w:r>
      <w:proofErr w:type="spellEnd"/>
      <w:r w:rsidR="00600783" w:rsidRPr="00600783">
        <w:rPr>
          <w:bCs/>
          <w:iCs/>
        </w:rPr>
        <w:t>.</w:t>
      </w:r>
      <w:r w:rsidR="00600783">
        <w:rPr>
          <w:bCs/>
          <w:iCs/>
        </w:rPr>
        <w:t xml:space="preserve"> The BWP switching is achieved by DCI or a timer (i.e., </w:t>
      </w:r>
      <w:proofErr w:type="spellStart"/>
      <w:r w:rsidR="00600783" w:rsidRPr="00600783">
        <w:rPr>
          <w:bCs/>
          <w:i/>
        </w:rPr>
        <w:t>bwp-InactivityTimer</w:t>
      </w:r>
      <w:proofErr w:type="spellEnd"/>
      <w:r w:rsidR="00600783">
        <w:rPr>
          <w:bCs/>
          <w:iCs/>
        </w:rPr>
        <w:t>). For example, DCI 0_1</w:t>
      </w:r>
      <w:r w:rsidR="0031571D">
        <w:rPr>
          <w:bCs/>
          <w:iCs/>
        </w:rPr>
        <w:t xml:space="preserve"> or </w:t>
      </w:r>
      <w:r w:rsidR="00600783">
        <w:rPr>
          <w:bCs/>
          <w:iCs/>
        </w:rPr>
        <w:t>1_1 cont</w:t>
      </w:r>
      <w:r w:rsidR="0031571D">
        <w:rPr>
          <w:bCs/>
          <w:iCs/>
        </w:rPr>
        <w:t>ains a field of “bandwidth part indicator” to switch UL or DL BWP among the configured list</w:t>
      </w:r>
      <w:r w:rsidR="00FA4B6B">
        <w:rPr>
          <w:bCs/>
          <w:iCs/>
        </w:rPr>
        <w:t>, respectively</w:t>
      </w:r>
      <w:r w:rsidR="0031571D">
        <w:rPr>
          <w:bCs/>
          <w:iCs/>
        </w:rPr>
        <w:t>. Timer-based BWP switch is to switch to default BWP when the BWP inactivity timer expires.</w:t>
      </w:r>
      <w:r w:rsidR="00FA4B6B">
        <w:rPr>
          <w:bCs/>
          <w:iCs/>
        </w:rPr>
        <w:t xml:space="preserve"> </w:t>
      </w:r>
    </w:p>
    <w:p w14:paraId="66D97657" w14:textId="3E609004" w:rsidR="001A4AD0" w:rsidRDefault="001A4AD0" w:rsidP="00870CF0">
      <w:pPr>
        <w:jc w:val="both"/>
        <w:rPr>
          <w:bCs/>
          <w:iCs/>
        </w:rPr>
      </w:pPr>
    </w:p>
    <w:p w14:paraId="1981C1DF" w14:textId="7F069F98" w:rsidR="001A4AD0" w:rsidRDefault="001A4AD0" w:rsidP="00870CF0">
      <w:pPr>
        <w:jc w:val="both"/>
        <w:rPr>
          <w:bCs/>
          <w:iCs/>
        </w:rPr>
      </w:pPr>
      <w:r>
        <w:rPr>
          <w:bCs/>
          <w:iCs/>
        </w:rPr>
        <w:t xml:space="preserve">The beam switching and BWP switching are independent procedures in NR terrestrial network.  </w:t>
      </w:r>
    </w:p>
    <w:p w14:paraId="715E0C86" w14:textId="77777777" w:rsidR="00FA4B6B" w:rsidRDefault="00FA4B6B" w:rsidP="00870CF0">
      <w:pPr>
        <w:jc w:val="both"/>
        <w:rPr>
          <w:bCs/>
          <w:iCs/>
        </w:rPr>
      </w:pPr>
    </w:p>
    <w:p w14:paraId="3F2A9D8A" w14:textId="5A2AC7B8" w:rsidR="001A4AD0" w:rsidRDefault="001A4AD0" w:rsidP="001A4AD0">
      <w:pPr>
        <w:jc w:val="both"/>
        <w:rPr>
          <w:bCs/>
          <w:iCs/>
        </w:rPr>
      </w:pPr>
      <w:r>
        <w:rPr>
          <w:bCs/>
          <w:iCs/>
        </w:rPr>
        <w:t xml:space="preserve">It was agreed </w:t>
      </w:r>
      <w:r>
        <w:rPr>
          <w:bCs/>
          <w:iCs/>
        </w:rPr>
        <w:fldChar w:fldCharType="begin"/>
      </w:r>
      <w:r>
        <w:rPr>
          <w:bCs/>
          <w:iCs/>
        </w:rPr>
        <w:instrText xml:space="preserve"> REF _Ref60737677 \r \h </w:instrText>
      </w:r>
      <w:r>
        <w:rPr>
          <w:bCs/>
          <w:iCs/>
        </w:rPr>
      </w:r>
      <w:r>
        <w:rPr>
          <w:bCs/>
          <w:iCs/>
        </w:rPr>
        <w:fldChar w:fldCharType="separate"/>
      </w:r>
      <w:r w:rsidR="00B77CEA">
        <w:rPr>
          <w:bCs/>
          <w:iCs/>
        </w:rPr>
        <w:t>[4]</w:t>
      </w:r>
      <w:r>
        <w:rPr>
          <w:bCs/>
          <w:iCs/>
        </w:rPr>
        <w:fldChar w:fldCharType="end"/>
      </w:r>
      <w:r>
        <w:rPr>
          <w:bCs/>
          <w:iCs/>
        </w:rPr>
        <w:t xml:space="preserve"> that both one-beam per cell and multiple-beam per cell are supported in NTN, with the existing NR specifications as a baseline. In case of </w:t>
      </w:r>
      <w:proofErr w:type="gramStart"/>
      <w:r>
        <w:rPr>
          <w:bCs/>
          <w:iCs/>
        </w:rPr>
        <w:t>multiple-beam</w:t>
      </w:r>
      <w:proofErr w:type="gramEnd"/>
      <w:r>
        <w:rPr>
          <w:bCs/>
          <w:iCs/>
        </w:rPr>
        <w:t xml:space="preserve"> per cell, the coverage of different satellite beams will have large overlap, and the inter-beam interference needs to be controlled. One straightforward way of mitigating inter-beam interference is using </w:t>
      </w:r>
      <w:r w:rsidR="006F64BA">
        <w:rPr>
          <w:bCs/>
          <w:iCs/>
        </w:rPr>
        <w:t xml:space="preserve">different </w:t>
      </w:r>
      <w:r>
        <w:rPr>
          <w:bCs/>
          <w:iCs/>
        </w:rPr>
        <w:t xml:space="preserve">frequencies on neighbor beams. The frequency reuse factor &gt; 1 could be achieved via different BWPs on neighbor beams. This is shown in </w:t>
      </w:r>
      <w:r>
        <w:rPr>
          <w:bCs/>
          <w:iCs/>
        </w:rPr>
        <w:fldChar w:fldCharType="begin"/>
      </w:r>
      <w:r>
        <w:rPr>
          <w:bCs/>
          <w:iCs/>
        </w:rPr>
        <w:instrText xml:space="preserve"> REF _Ref65248993 \h </w:instrText>
      </w:r>
      <w:r>
        <w:rPr>
          <w:bCs/>
          <w:iCs/>
        </w:rPr>
      </w:r>
      <w:r>
        <w:rPr>
          <w:bCs/>
          <w:iCs/>
        </w:rPr>
        <w:fldChar w:fldCharType="separate"/>
      </w:r>
      <w:r w:rsidR="00B77CEA">
        <w:t xml:space="preserve">Figure </w:t>
      </w:r>
      <w:r w:rsidR="00B77CEA">
        <w:rPr>
          <w:noProof/>
        </w:rPr>
        <w:t>1</w:t>
      </w:r>
      <w:r>
        <w:rPr>
          <w:bCs/>
          <w:iCs/>
        </w:rPr>
        <w:fldChar w:fldCharType="end"/>
      </w:r>
      <w:r>
        <w:rPr>
          <w:bCs/>
          <w:iCs/>
        </w:rPr>
        <w:t xml:space="preserve">, where each satellite beam is associated with a BWP. </w:t>
      </w:r>
    </w:p>
    <w:p w14:paraId="21F39031" w14:textId="77777777" w:rsidR="001A4AD0" w:rsidRDefault="001A4AD0" w:rsidP="001A4AD0">
      <w:pPr>
        <w:jc w:val="both"/>
        <w:rPr>
          <w:bCs/>
          <w:iCs/>
        </w:rPr>
      </w:pPr>
    </w:p>
    <w:p w14:paraId="4D3F2451" w14:textId="77777777" w:rsidR="001A4AD0" w:rsidRDefault="001A4AD0" w:rsidP="001A4AD0">
      <w:pPr>
        <w:jc w:val="both"/>
        <w:rPr>
          <w:bCs/>
          <w:iCs/>
        </w:rPr>
      </w:pPr>
    </w:p>
    <w:p w14:paraId="0A611085" w14:textId="77777777" w:rsidR="001A4AD0" w:rsidRDefault="001A4AD0" w:rsidP="001A4AD0">
      <w:pPr>
        <w:keepNext/>
        <w:jc w:val="center"/>
      </w:pPr>
      <w:r w:rsidRPr="001A4AD0">
        <w:rPr>
          <w:bCs/>
          <w:iCs/>
          <w:noProof/>
        </w:rPr>
        <w:drawing>
          <wp:inline distT="0" distB="0" distL="0" distR="0" wp14:anchorId="0CC62C5C" wp14:editId="29A08FE7">
            <wp:extent cx="2597042" cy="1726899"/>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617917" cy="1740780"/>
                    </a:xfrm>
                    <a:prstGeom prst="rect">
                      <a:avLst/>
                    </a:prstGeom>
                  </pic:spPr>
                </pic:pic>
              </a:graphicData>
            </a:graphic>
          </wp:inline>
        </w:drawing>
      </w:r>
    </w:p>
    <w:p w14:paraId="48C370AB" w14:textId="12F42456" w:rsidR="001A4AD0" w:rsidRDefault="001A4AD0" w:rsidP="001A4AD0">
      <w:pPr>
        <w:pStyle w:val="Caption"/>
        <w:rPr>
          <w:bCs w:val="0"/>
          <w:iCs/>
        </w:rPr>
      </w:pPr>
      <w:bookmarkStart w:id="0" w:name="_Ref65248993"/>
      <w:r>
        <w:t xml:space="preserve">Figure </w:t>
      </w:r>
      <w:fldSimple w:instr=" SEQ Figure \* ARABIC ">
        <w:r w:rsidR="00B77CEA">
          <w:rPr>
            <w:noProof/>
          </w:rPr>
          <w:t>1</w:t>
        </w:r>
      </w:fldSimple>
      <w:bookmarkEnd w:id="0"/>
      <w:r>
        <w:t>: Example of the association between beam and BWP</w:t>
      </w:r>
    </w:p>
    <w:p w14:paraId="6A560E7F" w14:textId="363CBB35" w:rsidR="00303FA2" w:rsidRDefault="001A4AD0" w:rsidP="001A4AD0">
      <w:pPr>
        <w:jc w:val="both"/>
        <w:rPr>
          <w:bCs/>
          <w:iCs/>
        </w:rPr>
      </w:pPr>
      <w:r>
        <w:rPr>
          <w:bCs/>
          <w:iCs/>
        </w:rPr>
        <w:lastRenderedPageBreak/>
        <w:t xml:space="preserve">Like in terrestrial network, the maximum number of configured BWPs in a cell may be limited by 4. Since the number of beams in a cell could be larger than 4, the same BWP can be </w:t>
      </w:r>
      <w:r w:rsidR="00303FA2">
        <w:rPr>
          <w:bCs/>
          <w:iCs/>
        </w:rPr>
        <w:t>reused by</w:t>
      </w:r>
      <w:r>
        <w:rPr>
          <w:bCs/>
          <w:iCs/>
        </w:rPr>
        <w:t xml:space="preserve"> different (non-neighbor) beams.</w:t>
      </w:r>
    </w:p>
    <w:p w14:paraId="2DC2AD91" w14:textId="77777777" w:rsidR="00303FA2" w:rsidRDefault="00303FA2" w:rsidP="001A4AD0">
      <w:pPr>
        <w:jc w:val="both"/>
        <w:rPr>
          <w:bCs/>
          <w:iCs/>
        </w:rPr>
      </w:pPr>
    </w:p>
    <w:p w14:paraId="4C216425" w14:textId="77777777" w:rsidR="00717AEF" w:rsidRDefault="00303FA2" w:rsidP="001A4AD0">
      <w:pPr>
        <w:jc w:val="both"/>
        <w:rPr>
          <w:bCs/>
          <w:iCs/>
        </w:rPr>
      </w:pPr>
      <w:r>
        <w:rPr>
          <w:bCs/>
          <w:iCs/>
        </w:rPr>
        <w:t xml:space="preserve">In the </w:t>
      </w:r>
      <w:r w:rsidR="00461D14">
        <w:rPr>
          <w:bCs/>
          <w:iCs/>
        </w:rPr>
        <w:t xml:space="preserve">above </w:t>
      </w:r>
      <w:r>
        <w:rPr>
          <w:bCs/>
          <w:iCs/>
        </w:rPr>
        <w:t xml:space="preserve">deployment scenario of FRF&gt;1, the </w:t>
      </w:r>
      <w:r w:rsidR="00717AEF">
        <w:rPr>
          <w:bCs/>
          <w:iCs/>
        </w:rPr>
        <w:t xml:space="preserve">satellite </w:t>
      </w:r>
      <w:r>
        <w:rPr>
          <w:bCs/>
          <w:iCs/>
        </w:rPr>
        <w:t>beam switching implies BWP switching</w:t>
      </w:r>
      <w:r w:rsidR="00461D14">
        <w:rPr>
          <w:bCs/>
          <w:iCs/>
        </w:rPr>
        <w:t xml:space="preserve">. This justifies the joint </w:t>
      </w:r>
      <w:r w:rsidR="00717AEF">
        <w:rPr>
          <w:bCs/>
          <w:iCs/>
        </w:rPr>
        <w:t xml:space="preserve">satellite </w:t>
      </w:r>
      <w:r w:rsidR="00461D14">
        <w:rPr>
          <w:bCs/>
          <w:iCs/>
        </w:rPr>
        <w:t xml:space="preserve">beam switching and BWP switching. </w:t>
      </w:r>
    </w:p>
    <w:p w14:paraId="36B2BB1A" w14:textId="77777777" w:rsidR="00717AEF" w:rsidRDefault="00717AEF" w:rsidP="001A4AD0">
      <w:pPr>
        <w:jc w:val="both"/>
        <w:rPr>
          <w:bCs/>
          <w:iCs/>
        </w:rPr>
      </w:pPr>
    </w:p>
    <w:p w14:paraId="23AAC956" w14:textId="77777777" w:rsidR="00BE0C2D" w:rsidRDefault="00717AEF" w:rsidP="001A4AD0">
      <w:pPr>
        <w:jc w:val="both"/>
        <w:rPr>
          <w:bCs/>
          <w:iCs/>
        </w:rPr>
      </w:pPr>
      <w:r>
        <w:rPr>
          <w:bCs/>
          <w:iCs/>
        </w:rPr>
        <w:t>On the other hand, a satellite beam switching does not imply UE’s transmit/receiver beam change, since all satellite beams have the same QCL type-D.</w:t>
      </w:r>
      <w:r w:rsidR="00BE0C2D">
        <w:rPr>
          <w:bCs/>
          <w:iCs/>
        </w:rPr>
        <w:t xml:space="preserve"> </w:t>
      </w:r>
    </w:p>
    <w:p w14:paraId="5139F0BA" w14:textId="77777777" w:rsidR="00BE0C2D" w:rsidRDefault="00BE0C2D" w:rsidP="001A4AD0">
      <w:pPr>
        <w:jc w:val="both"/>
        <w:rPr>
          <w:bCs/>
          <w:iCs/>
        </w:rPr>
      </w:pPr>
    </w:p>
    <w:p w14:paraId="65F512DC" w14:textId="77777777" w:rsidR="00BE0C2D" w:rsidRDefault="00BE0C2D" w:rsidP="001A4AD0">
      <w:pPr>
        <w:jc w:val="both"/>
        <w:rPr>
          <w:bCs/>
          <w:iCs/>
        </w:rPr>
      </w:pPr>
      <w:r>
        <w:rPr>
          <w:bCs/>
          <w:iCs/>
        </w:rPr>
        <w:t xml:space="preserve">If in a TCI state configuration, the associated DL or UL BWP is configured, then the satellite beam switching via DCI or MAC CE results in the corresponding DL BWP or UL BWP switching. In other words, the DL BWP or UL BWP switching follows the satellite beam switching autonomously, if a TCI state configuration includes the associated DL BWP or UL BWP. </w:t>
      </w:r>
    </w:p>
    <w:p w14:paraId="35F3C6B0" w14:textId="41819F4A" w:rsidR="00BE0C2D" w:rsidRDefault="00BE0C2D" w:rsidP="001A4AD0">
      <w:pPr>
        <w:jc w:val="both"/>
        <w:rPr>
          <w:bCs/>
          <w:iCs/>
        </w:rPr>
      </w:pPr>
    </w:p>
    <w:p w14:paraId="5CCE1C93" w14:textId="7E59D415" w:rsidR="00BE0C2D" w:rsidRDefault="00BD5E37" w:rsidP="001A4AD0">
      <w:pPr>
        <w:jc w:val="both"/>
        <w:rPr>
          <w:bCs/>
          <w:iCs/>
        </w:rPr>
      </w:pPr>
      <w:r>
        <w:rPr>
          <w:bCs/>
          <w:iCs/>
        </w:rPr>
        <w:t>Note that by configuration, the DL BWP or UL BWP associated with an updated TCI state does not have to be different from the DL BWP or UL BWP associated with the old TCI state. In this case, DL BWP or UL BWP switching does not occur with the satellite beam switching.</w:t>
      </w:r>
    </w:p>
    <w:p w14:paraId="6F856288" w14:textId="77777777" w:rsidR="00461D14" w:rsidRDefault="00461D14" w:rsidP="001A4AD0">
      <w:pPr>
        <w:jc w:val="both"/>
        <w:rPr>
          <w:bCs/>
          <w:iCs/>
        </w:rPr>
      </w:pPr>
    </w:p>
    <w:p w14:paraId="7DF2F955" w14:textId="7188747D" w:rsidR="00461D14" w:rsidRDefault="00461D14" w:rsidP="00461D14">
      <w:pPr>
        <w:jc w:val="both"/>
        <w:rPr>
          <w:i/>
        </w:rPr>
      </w:pPr>
      <w:r w:rsidRPr="001C381A">
        <w:rPr>
          <w:b/>
          <w:i/>
          <w:u w:val="single"/>
        </w:rPr>
        <w:t xml:space="preserve">Proposal </w:t>
      </w:r>
      <w:r>
        <w:rPr>
          <w:b/>
          <w:i/>
          <w:u w:val="single"/>
        </w:rPr>
        <w:t>1</w:t>
      </w:r>
      <w:r w:rsidRPr="001C381A">
        <w:rPr>
          <w:b/>
          <w:i/>
          <w:u w:val="single"/>
        </w:rPr>
        <w:t>:</w:t>
      </w:r>
      <w:r>
        <w:rPr>
          <w:i/>
        </w:rPr>
        <w:t xml:space="preserve"> Consider the association between </w:t>
      </w:r>
      <w:r w:rsidR="00717AEF">
        <w:rPr>
          <w:i/>
        </w:rPr>
        <w:t xml:space="preserve">satellite </w:t>
      </w:r>
      <w:r>
        <w:rPr>
          <w:i/>
        </w:rPr>
        <w:t>beam switching and BWP switching.</w:t>
      </w:r>
    </w:p>
    <w:p w14:paraId="61A6982E" w14:textId="46503D54" w:rsidR="00303FA2" w:rsidRDefault="00303FA2" w:rsidP="001A4AD0">
      <w:pPr>
        <w:jc w:val="both"/>
        <w:rPr>
          <w:bCs/>
          <w:iCs/>
        </w:rPr>
      </w:pPr>
    </w:p>
    <w:p w14:paraId="47172FAF" w14:textId="5F8D188D" w:rsidR="00BA1F59" w:rsidRPr="00BA1F59" w:rsidRDefault="00BE0C2D" w:rsidP="00870CF0">
      <w:pPr>
        <w:jc w:val="both"/>
        <w:rPr>
          <w:bCs/>
          <w:iCs/>
        </w:rPr>
      </w:pPr>
      <w:r w:rsidRPr="001C381A">
        <w:rPr>
          <w:b/>
          <w:i/>
          <w:u w:val="single"/>
        </w:rPr>
        <w:t xml:space="preserve">Proposal </w:t>
      </w:r>
      <w:r>
        <w:rPr>
          <w:b/>
          <w:i/>
          <w:u w:val="single"/>
        </w:rPr>
        <w:t>2</w:t>
      </w:r>
      <w:r w:rsidRPr="001C381A">
        <w:rPr>
          <w:b/>
          <w:i/>
          <w:u w:val="single"/>
        </w:rPr>
        <w:t>:</w:t>
      </w:r>
      <w:r>
        <w:rPr>
          <w:i/>
        </w:rPr>
        <w:t xml:space="preserve"> Consider the joint UL BWP switching and</w:t>
      </w:r>
      <w:r w:rsidR="00BD5E37">
        <w:rPr>
          <w:i/>
        </w:rPr>
        <w:t>/or</w:t>
      </w:r>
      <w:r>
        <w:rPr>
          <w:i/>
        </w:rPr>
        <w:t xml:space="preserve"> DL BWP switching, following the corresponding satellite beam switching. </w:t>
      </w:r>
    </w:p>
    <w:p w14:paraId="280BB181" w14:textId="77777777" w:rsidR="00C872DB" w:rsidRDefault="00C872DB" w:rsidP="009970CC">
      <w:pPr>
        <w:jc w:val="both"/>
        <w:rPr>
          <w:lang w:eastAsia="x-none"/>
        </w:rPr>
      </w:pPr>
    </w:p>
    <w:p w14:paraId="36F8BDB7" w14:textId="525BC3D7" w:rsidR="007872EC" w:rsidRPr="00D92431" w:rsidRDefault="007872EC" w:rsidP="0013219E">
      <w:pPr>
        <w:jc w:val="both"/>
        <w:rPr>
          <w:rFonts w:eastAsia="SimSun"/>
          <w:bCs/>
          <w:iCs/>
        </w:rPr>
      </w:pPr>
      <w:r w:rsidRPr="00D92431">
        <w:rPr>
          <w:rFonts w:eastAsia="SimSun"/>
          <w:bCs/>
          <w:iCs/>
        </w:rPr>
        <w:t>The b</w:t>
      </w:r>
      <w:r w:rsidR="004E2EB8" w:rsidRPr="00D92431">
        <w:rPr>
          <w:rFonts w:eastAsia="SimSun"/>
          <w:bCs/>
          <w:iCs/>
        </w:rPr>
        <w:t>eam measurement</w:t>
      </w:r>
      <w:r w:rsidRPr="00D92431">
        <w:rPr>
          <w:rFonts w:eastAsia="SimSun"/>
          <w:bCs/>
          <w:iCs/>
        </w:rPr>
        <w:t xml:space="preserve"> in NR terrestrial network is based on SSB or CSI-RS. Since different </w:t>
      </w:r>
      <w:r w:rsidR="00395FA6" w:rsidRPr="00D92431">
        <w:rPr>
          <w:rFonts w:eastAsia="SimSun"/>
          <w:bCs/>
          <w:iCs/>
        </w:rPr>
        <w:t xml:space="preserve">satellite </w:t>
      </w:r>
      <w:r w:rsidRPr="00D92431">
        <w:rPr>
          <w:rFonts w:eastAsia="SimSun"/>
          <w:bCs/>
          <w:iCs/>
        </w:rPr>
        <w:t xml:space="preserve">beams in NTN </w:t>
      </w:r>
      <w:r w:rsidR="00281A37">
        <w:rPr>
          <w:rFonts w:eastAsia="SimSun"/>
          <w:bCs/>
          <w:iCs/>
        </w:rPr>
        <w:t>may be</w:t>
      </w:r>
      <w:r w:rsidRPr="00D92431">
        <w:rPr>
          <w:rFonts w:eastAsia="SimSun"/>
          <w:bCs/>
          <w:iCs/>
        </w:rPr>
        <w:t xml:space="preserve"> associated with different BWPs, BWP may be either switched or extended in order to measure CSI-RS in different beams. The former approach requires additional gap between beam measurement, while the latter approach has a large specification impact. </w:t>
      </w:r>
      <w:r w:rsidR="000436C0" w:rsidRPr="00D92431">
        <w:rPr>
          <w:rFonts w:eastAsia="SimSun"/>
          <w:bCs/>
          <w:iCs/>
        </w:rPr>
        <w:t>W</w:t>
      </w:r>
      <w:r w:rsidRPr="00D92431">
        <w:rPr>
          <w:rFonts w:eastAsia="SimSun"/>
          <w:bCs/>
          <w:iCs/>
        </w:rPr>
        <w:t xml:space="preserve">e prefer the approach for BWP switching for CSI measurement in a different beam. An alternative approach is to </w:t>
      </w:r>
      <w:r w:rsidR="000436C0" w:rsidRPr="00D92431">
        <w:rPr>
          <w:rFonts w:eastAsia="SimSun"/>
          <w:bCs/>
          <w:iCs/>
        </w:rPr>
        <w:t xml:space="preserve">make all the beam measurement </w:t>
      </w:r>
      <w:r w:rsidRPr="00D92431">
        <w:rPr>
          <w:rFonts w:eastAsia="SimSun"/>
          <w:bCs/>
          <w:iCs/>
        </w:rPr>
        <w:t>in initial BWP</w:t>
      </w:r>
      <w:r w:rsidR="000436C0" w:rsidRPr="00D92431">
        <w:rPr>
          <w:rFonts w:eastAsia="SimSun"/>
          <w:bCs/>
          <w:iCs/>
        </w:rPr>
        <w:t>, which reduces the total number of BWP switching</w:t>
      </w:r>
      <w:r w:rsidR="00D92431">
        <w:rPr>
          <w:rFonts w:eastAsia="SimSun"/>
          <w:bCs/>
          <w:iCs/>
        </w:rPr>
        <w:t xml:space="preserve"> for beam measurement</w:t>
      </w:r>
      <w:r w:rsidR="000436C0" w:rsidRPr="00D92431">
        <w:rPr>
          <w:rFonts w:eastAsia="SimSun"/>
          <w:bCs/>
          <w:iCs/>
        </w:rPr>
        <w:t xml:space="preserve">. </w:t>
      </w:r>
    </w:p>
    <w:p w14:paraId="6284F483" w14:textId="2112F9A4" w:rsidR="004E2EB8" w:rsidRDefault="004E2EB8" w:rsidP="0013219E">
      <w:pPr>
        <w:jc w:val="both"/>
        <w:rPr>
          <w:rFonts w:eastAsia="SimSun"/>
          <w:bCs/>
          <w:iCs/>
          <w:sz w:val="22"/>
          <w:szCs w:val="22"/>
        </w:rPr>
      </w:pPr>
    </w:p>
    <w:p w14:paraId="0D24C524" w14:textId="3929D629" w:rsidR="004E2EB8" w:rsidRDefault="004E2EB8" w:rsidP="0013219E">
      <w:pPr>
        <w:jc w:val="both"/>
        <w:rPr>
          <w:i/>
        </w:rPr>
      </w:pPr>
      <w:r w:rsidRPr="001C381A">
        <w:rPr>
          <w:b/>
          <w:i/>
          <w:u w:val="single"/>
        </w:rPr>
        <w:t xml:space="preserve">Proposal </w:t>
      </w:r>
      <w:r w:rsidR="00BA1F59">
        <w:rPr>
          <w:b/>
          <w:i/>
          <w:u w:val="single"/>
        </w:rPr>
        <w:t>3</w:t>
      </w:r>
      <w:r w:rsidRPr="001C381A">
        <w:rPr>
          <w:b/>
          <w:i/>
          <w:u w:val="single"/>
        </w:rPr>
        <w:t>:</w:t>
      </w:r>
      <w:r>
        <w:rPr>
          <w:i/>
        </w:rPr>
        <w:t xml:space="preserve"> Consider</w:t>
      </w:r>
      <w:r w:rsidR="00F14FA6">
        <w:rPr>
          <w:i/>
        </w:rPr>
        <w:t xml:space="preserve"> </w:t>
      </w:r>
      <w:r w:rsidR="000436C0">
        <w:rPr>
          <w:i/>
        </w:rPr>
        <w:t>performing beam measuremen</w:t>
      </w:r>
      <w:r w:rsidR="00F14FA6">
        <w:rPr>
          <w:i/>
        </w:rPr>
        <w:t>t either in initial BWP or in different BWPs with BWP switching.</w:t>
      </w:r>
    </w:p>
    <w:p w14:paraId="2F640372" w14:textId="2AE50C06" w:rsidR="00BA1F59" w:rsidRDefault="00BA1F59" w:rsidP="0013219E">
      <w:pPr>
        <w:jc w:val="both"/>
        <w:rPr>
          <w:iCs/>
        </w:rPr>
      </w:pPr>
    </w:p>
    <w:p w14:paraId="6BA2F929" w14:textId="36D35031" w:rsidR="00281A37" w:rsidRDefault="00281A37" w:rsidP="0013219E">
      <w:pPr>
        <w:jc w:val="both"/>
        <w:rPr>
          <w:iCs/>
        </w:rPr>
      </w:pPr>
      <w:r>
        <w:rPr>
          <w:iCs/>
        </w:rPr>
        <w:t xml:space="preserve">The </w:t>
      </w:r>
      <w:r w:rsidR="00530B39">
        <w:rPr>
          <w:iCs/>
        </w:rPr>
        <w:t xml:space="preserve">antenna </w:t>
      </w:r>
      <w:r>
        <w:rPr>
          <w:iCs/>
        </w:rPr>
        <w:t xml:space="preserve">polarization used in NTN includes right hand circular polarization (RHCP), left hand circular polarization (LHCP) and linear polarization. A UE with linear polarization </w:t>
      </w:r>
      <w:r w:rsidR="00530B39">
        <w:rPr>
          <w:iCs/>
        </w:rPr>
        <w:t xml:space="preserve">antenna has 3 dB polarization loss when receiving a circular polarized signal. A UE with RHCP antenna cannot receive a LHCP signal, and vice versa. </w:t>
      </w:r>
    </w:p>
    <w:p w14:paraId="62C3B49F" w14:textId="77777777" w:rsidR="00281A37" w:rsidRDefault="00281A37" w:rsidP="0013219E">
      <w:pPr>
        <w:jc w:val="both"/>
        <w:rPr>
          <w:iCs/>
        </w:rPr>
      </w:pPr>
    </w:p>
    <w:p w14:paraId="029D886E" w14:textId="5A7B326E" w:rsidR="00530B39" w:rsidRDefault="00281A37" w:rsidP="0013219E">
      <w:pPr>
        <w:jc w:val="both"/>
        <w:rPr>
          <w:iCs/>
        </w:rPr>
      </w:pPr>
      <w:r>
        <w:rPr>
          <w:iCs/>
        </w:rPr>
        <w:t xml:space="preserve">It was agreed </w:t>
      </w:r>
      <w:r>
        <w:rPr>
          <w:iCs/>
        </w:rPr>
        <w:fldChar w:fldCharType="begin"/>
      </w:r>
      <w:r>
        <w:rPr>
          <w:iCs/>
        </w:rPr>
        <w:instrText xml:space="preserve"> REF _Ref65481526 \r \h </w:instrText>
      </w:r>
      <w:r>
        <w:rPr>
          <w:iCs/>
        </w:rPr>
      </w:r>
      <w:r>
        <w:rPr>
          <w:iCs/>
        </w:rPr>
        <w:fldChar w:fldCharType="separate"/>
      </w:r>
      <w:r w:rsidR="00B77CEA">
        <w:rPr>
          <w:iCs/>
        </w:rPr>
        <w:t>[3]</w:t>
      </w:r>
      <w:r>
        <w:rPr>
          <w:iCs/>
        </w:rPr>
        <w:fldChar w:fldCharType="end"/>
      </w:r>
      <w:r>
        <w:rPr>
          <w:iCs/>
        </w:rPr>
        <w:t xml:space="preserve"> to support explicit indication of polarization information for DL by the network. It is open whether such indication is via SIB, RRC signaling or DCI. There are two potential deployment scenarios related to polarization</w:t>
      </w:r>
      <w:r w:rsidR="007633DE">
        <w:rPr>
          <w:iCs/>
        </w:rPr>
        <w:t xml:space="preserve">, </w:t>
      </w:r>
      <w:r>
        <w:rPr>
          <w:iCs/>
        </w:rPr>
        <w:t>i.e., inter-beam interference mitigation and polarization multiplexing.</w:t>
      </w:r>
    </w:p>
    <w:p w14:paraId="1A5111D1" w14:textId="77777777" w:rsidR="00530B39" w:rsidRDefault="00530B39" w:rsidP="0013219E">
      <w:pPr>
        <w:jc w:val="both"/>
        <w:rPr>
          <w:iCs/>
        </w:rPr>
      </w:pPr>
    </w:p>
    <w:p w14:paraId="3028BADE" w14:textId="4D46F10C" w:rsidR="00281A37" w:rsidRDefault="00281A37" w:rsidP="0013219E">
      <w:pPr>
        <w:jc w:val="both"/>
        <w:rPr>
          <w:iCs/>
        </w:rPr>
      </w:pPr>
      <w:r>
        <w:rPr>
          <w:iCs/>
        </w:rPr>
        <w:t xml:space="preserve">In </w:t>
      </w:r>
      <w:r w:rsidR="00530B39">
        <w:rPr>
          <w:iCs/>
        </w:rPr>
        <w:t>the first deployment scenario</w:t>
      </w:r>
      <w:r w:rsidR="00D819E8">
        <w:rPr>
          <w:iCs/>
        </w:rPr>
        <w:t xml:space="preserve"> (so called inter-beam interference mitigation)</w:t>
      </w:r>
      <w:r>
        <w:rPr>
          <w:iCs/>
        </w:rPr>
        <w:t>, neighbor satellite beams may use different polarization</w:t>
      </w:r>
      <w:r w:rsidR="00530B39">
        <w:rPr>
          <w:iCs/>
        </w:rPr>
        <w:t xml:space="preserve"> to mitigate the inter-beam interference to increase system throughput. This polarization-based inter-beam interference mitigation can be jointly </w:t>
      </w:r>
      <w:r w:rsidR="006F64BA">
        <w:rPr>
          <w:iCs/>
        </w:rPr>
        <w:t>deployed</w:t>
      </w:r>
      <w:r w:rsidR="00530B39">
        <w:rPr>
          <w:iCs/>
        </w:rPr>
        <w:t xml:space="preserve"> with frequency reuse</w:t>
      </w:r>
      <w:r w:rsidR="00D819E8">
        <w:rPr>
          <w:iCs/>
        </w:rPr>
        <w:t xml:space="preserve"> to further increase the reuse factor.</w:t>
      </w:r>
    </w:p>
    <w:p w14:paraId="397EADE1" w14:textId="4BE15D8A" w:rsidR="00D819E8" w:rsidRDefault="00D819E8" w:rsidP="0013219E">
      <w:pPr>
        <w:jc w:val="both"/>
        <w:rPr>
          <w:iCs/>
        </w:rPr>
      </w:pPr>
    </w:p>
    <w:p w14:paraId="1FCE57F1" w14:textId="6C5B64E6" w:rsidR="00D819E8" w:rsidRDefault="00D819E8" w:rsidP="0013219E">
      <w:pPr>
        <w:jc w:val="both"/>
        <w:rPr>
          <w:iCs/>
        </w:rPr>
      </w:pPr>
      <w:r>
        <w:rPr>
          <w:iCs/>
        </w:rPr>
        <w:t xml:space="preserve">In the second deployment scenario (so called polarization multiplexing), </w:t>
      </w:r>
      <w:proofErr w:type="spellStart"/>
      <w:r>
        <w:rPr>
          <w:iCs/>
        </w:rPr>
        <w:t>gNB</w:t>
      </w:r>
      <w:proofErr w:type="spellEnd"/>
      <w:r>
        <w:rPr>
          <w:iCs/>
        </w:rPr>
        <w:t xml:space="preserve"> could use the same time and frequency resource to serve two UEs by using different or opposite polarizations (e.g., </w:t>
      </w:r>
      <w:r>
        <w:rPr>
          <w:iCs/>
        </w:rPr>
        <w:lastRenderedPageBreak/>
        <w:t xml:space="preserve">RHCP and LHCP). Due to the orthogonality between two polarizations, there is no interference between </w:t>
      </w:r>
      <w:r w:rsidR="00F67ABA">
        <w:rPr>
          <w:iCs/>
        </w:rPr>
        <w:t>these two UEs’ signal receptions</w:t>
      </w:r>
      <w:r>
        <w:rPr>
          <w:iCs/>
        </w:rPr>
        <w:t>.</w:t>
      </w:r>
    </w:p>
    <w:p w14:paraId="23DD5E84" w14:textId="694A6954" w:rsidR="00281A37" w:rsidRDefault="00281A37" w:rsidP="0013219E">
      <w:pPr>
        <w:jc w:val="both"/>
        <w:rPr>
          <w:iCs/>
        </w:rPr>
      </w:pPr>
    </w:p>
    <w:p w14:paraId="2FBD5F96" w14:textId="3F5C8E13" w:rsidR="008069FE" w:rsidRDefault="00D819E8" w:rsidP="0013219E">
      <w:pPr>
        <w:jc w:val="both"/>
        <w:rPr>
          <w:iCs/>
        </w:rPr>
      </w:pPr>
      <w:r>
        <w:rPr>
          <w:iCs/>
        </w:rPr>
        <w:t>For the first deployment scenario, the network polarization</w:t>
      </w:r>
      <w:r w:rsidR="008069FE">
        <w:rPr>
          <w:iCs/>
        </w:rPr>
        <w:t xml:space="preserve"> configuration</w:t>
      </w:r>
      <w:r>
        <w:rPr>
          <w:iCs/>
        </w:rPr>
        <w:t xml:space="preserve"> is </w:t>
      </w:r>
      <w:r w:rsidR="00BB46FF">
        <w:rPr>
          <w:iCs/>
        </w:rPr>
        <w:t>beam-specific</w:t>
      </w:r>
      <w:r w:rsidR="008069FE">
        <w:rPr>
          <w:iCs/>
        </w:rPr>
        <w:t xml:space="preserve"> and </w:t>
      </w:r>
      <w:r>
        <w:rPr>
          <w:iCs/>
        </w:rPr>
        <w:t>semi-static</w:t>
      </w:r>
      <w:r w:rsidR="008069FE">
        <w:rPr>
          <w:iCs/>
        </w:rPr>
        <w:t xml:space="preserve">. It does not change for each individual UE. </w:t>
      </w:r>
      <w:r w:rsidR="00BB46FF">
        <w:rPr>
          <w:iCs/>
        </w:rPr>
        <w:t>Hence, we think the DL polarization information (for each satellite beam) should be broadcast</w:t>
      </w:r>
      <w:r w:rsidR="007633DE">
        <w:rPr>
          <w:iCs/>
        </w:rPr>
        <w:t>ed</w:t>
      </w:r>
      <w:r w:rsidR="00BB46FF">
        <w:rPr>
          <w:iCs/>
        </w:rPr>
        <w:t xml:space="preserve"> by SIB. A UE in the coverage can adjust its polarization if capable, after receiving the SIB. Also, in this scenario, </w:t>
      </w:r>
      <w:r>
        <w:rPr>
          <w:iCs/>
        </w:rPr>
        <w:t xml:space="preserve">the necessity of UE reporting its polarization capability </w:t>
      </w:r>
      <w:r w:rsidR="008069FE">
        <w:rPr>
          <w:iCs/>
        </w:rPr>
        <w:t>is unclear, since network polarization configuration is per satellite beam and does not change</w:t>
      </w:r>
      <w:r w:rsidR="00BB46FF">
        <w:rPr>
          <w:iCs/>
        </w:rPr>
        <w:t xml:space="preserve"> with UEs’ polarization capability</w:t>
      </w:r>
      <w:r w:rsidR="008069FE">
        <w:rPr>
          <w:iCs/>
        </w:rPr>
        <w:t>.</w:t>
      </w:r>
    </w:p>
    <w:p w14:paraId="55A29F8E" w14:textId="5ACFDF2E" w:rsidR="000B7B28" w:rsidRDefault="000B7B28" w:rsidP="0013219E">
      <w:pPr>
        <w:jc w:val="both"/>
        <w:rPr>
          <w:iCs/>
        </w:rPr>
      </w:pPr>
    </w:p>
    <w:p w14:paraId="73B1C452" w14:textId="497EEEB0" w:rsidR="000B7B28" w:rsidRDefault="000B7B28" w:rsidP="0013219E">
      <w:pPr>
        <w:jc w:val="both"/>
        <w:rPr>
          <w:iCs/>
        </w:rPr>
      </w:pPr>
      <w:r>
        <w:rPr>
          <w:iCs/>
        </w:rPr>
        <w:t xml:space="preserve">For the second deployment scenario, DL signal polarization may be dynamically adjusted for different UEs based on UEs’ polarization capabilities. </w:t>
      </w:r>
      <w:r w:rsidR="00325905">
        <w:rPr>
          <w:iCs/>
        </w:rPr>
        <w:t xml:space="preserve">In this case, it may be beneficial for </w:t>
      </w:r>
      <w:r>
        <w:rPr>
          <w:iCs/>
        </w:rPr>
        <w:t xml:space="preserve">UE to report its polarization capability for </w:t>
      </w:r>
      <w:proofErr w:type="spellStart"/>
      <w:r>
        <w:rPr>
          <w:iCs/>
        </w:rPr>
        <w:t>gNB’s</w:t>
      </w:r>
      <w:proofErr w:type="spellEnd"/>
      <w:r>
        <w:rPr>
          <w:iCs/>
        </w:rPr>
        <w:t xml:space="preserve"> proper scheduling on polarization.</w:t>
      </w:r>
      <w:r w:rsidR="00325905">
        <w:rPr>
          <w:iCs/>
        </w:rPr>
        <w:t xml:space="preserve"> The polarization signaling could be achieved by dedicated RRC signaling or DCI. However, to support the polarization multiplexing, it increases satellite or UE implementation complexity of dynamically switching between polarization states, which is not preferred. Hence, we </w:t>
      </w:r>
      <w:r w:rsidR="0014578B">
        <w:rPr>
          <w:iCs/>
        </w:rPr>
        <w:t>prefer to prioritize the inter-beam interference mitigation scenario</w:t>
      </w:r>
      <w:r w:rsidR="006F64BA">
        <w:rPr>
          <w:iCs/>
        </w:rPr>
        <w:t>, regarding the usage of polarization</w:t>
      </w:r>
      <w:r w:rsidR="0014578B">
        <w:rPr>
          <w:iCs/>
        </w:rPr>
        <w:t xml:space="preserve">. </w:t>
      </w:r>
    </w:p>
    <w:p w14:paraId="6178E6B4" w14:textId="4D85D38E" w:rsidR="008069FE" w:rsidRDefault="008069FE" w:rsidP="0013219E">
      <w:pPr>
        <w:jc w:val="both"/>
        <w:rPr>
          <w:iCs/>
        </w:rPr>
      </w:pPr>
    </w:p>
    <w:p w14:paraId="2211BCF7" w14:textId="4B90B75E" w:rsidR="0014578B" w:rsidRDefault="0014578B" w:rsidP="0013219E">
      <w:pPr>
        <w:jc w:val="both"/>
        <w:rPr>
          <w:i/>
        </w:rPr>
      </w:pPr>
      <w:r w:rsidRPr="001C381A">
        <w:rPr>
          <w:b/>
          <w:i/>
          <w:u w:val="single"/>
        </w:rPr>
        <w:t xml:space="preserve">Proposal </w:t>
      </w:r>
      <w:r>
        <w:rPr>
          <w:b/>
          <w:i/>
          <w:u w:val="single"/>
        </w:rPr>
        <w:t>4</w:t>
      </w:r>
      <w:r w:rsidRPr="001C381A">
        <w:rPr>
          <w:b/>
          <w:i/>
          <w:u w:val="single"/>
        </w:rPr>
        <w:t>:</w:t>
      </w:r>
      <w:r>
        <w:rPr>
          <w:i/>
        </w:rPr>
        <w:t xml:space="preserve"> R</w:t>
      </w:r>
      <w:r w:rsidR="00B45BEF">
        <w:rPr>
          <w:i/>
        </w:rPr>
        <w:t>egarding the usage of polarization, prioritize</w:t>
      </w:r>
      <w:r>
        <w:rPr>
          <w:i/>
        </w:rPr>
        <w:t xml:space="preserve"> the support of inter-beam interference mitigation scenario. </w:t>
      </w:r>
    </w:p>
    <w:p w14:paraId="00C7BFC0" w14:textId="77777777" w:rsidR="0014578B" w:rsidRDefault="0014578B" w:rsidP="0013219E">
      <w:pPr>
        <w:jc w:val="both"/>
        <w:rPr>
          <w:iCs/>
        </w:rPr>
      </w:pPr>
    </w:p>
    <w:p w14:paraId="2DA4C578" w14:textId="581743FC" w:rsidR="008069FE" w:rsidRDefault="008069FE" w:rsidP="008069FE">
      <w:pPr>
        <w:jc w:val="both"/>
        <w:rPr>
          <w:i/>
        </w:rPr>
      </w:pPr>
      <w:r w:rsidRPr="001C381A">
        <w:rPr>
          <w:b/>
          <w:i/>
          <w:u w:val="single"/>
        </w:rPr>
        <w:t xml:space="preserve">Proposal </w:t>
      </w:r>
      <w:r w:rsidR="0014578B">
        <w:rPr>
          <w:b/>
          <w:i/>
          <w:u w:val="single"/>
        </w:rPr>
        <w:t>5</w:t>
      </w:r>
      <w:r w:rsidRPr="001C381A">
        <w:rPr>
          <w:b/>
          <w:i/>
          <w:u w:val="single"/>
        </w:rPr>
        <w:t>:</w:t>
      </w:r>
      <w:r>
        <w:rPr>
          <w:i/>
        </w:rPr>
        <w:t xml:space="preserve"> </w:t>
      </w:r>
      <w:r w:rsidR="00BB46FF">
        <w:rPr>
          <w:i/>
        </w:rPr>
        <w:t>For inter-beam interference mitigation, t</w:t>
      </w:r>
      <w:r>
        <w:rPr>
          <w:i/>
        </w:rPr>
        <w:t xml:space="preserve">he polarization information is configured in a beam specific manner and </w:t>
      </w:r>
      <w:r w:rsidR="00BB46FF">
        <w:rPr>
          <w:i/>
        </w:rPr>
        <w:t xml:space="preserve">is signaled via </w:t>
      </w:r>
      <w:r>
        <w:rPr>
          <w:i/>
        </w:rPr>
        <w:t>SIB</w:t>
      </w:r>
      <w:r w:rsidR="00BB46FF">
        <w:rPr>
          <w:i/>
        </w:rPr>
        <w:t>.</w:t>
      </w:r>
    </w:p>
    <w:p w14:paraId="2DF196EA" w14:textId="15FBEA45" w:rsidR="008069FE" w:rsidRDefault="008069FE" w:rsidP="0013219E">
      <w:pPr>
        <w:jc w:val="both"/>
        <w:rPr>
          <w:iCs/>
        </w:rPr>
      </w:pPr>
    </w:p>
    <w:p w14:paraId="7C570831" w14:textId="558CB45B" w:rsidR="00BB46FF" w:rsidRDefault="00BB46FF" w:rsidP="0013219E">
      <w:pPr>
        <w:jc w:val="both"/>
        <w:rPr>
          <w:iCs/>
        </w:rPr>
      </w:pPr>
      <w:r w:rsidRPr="001C381A">
        <w:rPr>
          <w:b/>
          <w:i/>
          <w:u w:val="single"/>
        </w:rPr>
        <w:t xml:space="preserve">Proposal </w:t>
      </w:r>
      <w:r w:rsidR="0014578B">
        <w:rPr>
          <w:b/>
          <w:i/>
          <w:u w:val="single"/>
        </w:rPr>
        <w:t>6</w:t>
      </w:r>
      <w:r w:rsidRPr="001C381A">
        <w:rPr>
          <w:b/>
          <w:i/>
          <w:u w:val="single"/>
        </w:rPr>
        <w:t>:</w:t>
      </w:r>
      <w:r>
        <w:rPr>
          <w:i/>
        </w:rPr>
        <w:t xml:space="preserve"> UE polarization capability reporting is not supported for inter-beam interference mitigation. </w:t>
      </w:r>
    </w:p>
    <w:p w14:paraId="4D3CBFCF" w14:textId="77777777" w:rsidR="00F7060A" w:rsidRPr="00F7060A" w:rsidRDefault="00F7060A" w:rsidP="0013219E">
      <w:pPr>
        <w:jc w:val="both"/>
        <w:rPr>
          <w:i/>
        </w:rPr>
      </w:pPr>
    </w:p>
    <w:p w14:paraId="2896E657" w14:textId="2DF29AD0" w:rsidR="00854A60" w:rsidRPr="00A6576F" w:rsidRDefault="009C5A97" w:rsidP="00FB330B">
      <w:pPr>
        <w:pStyle w:val="Heading1"/>
      </w:pPr>
      <w:r w:rsidRPr="00A6576F">
        <w:t>Conclusion</w:t>
      </w:r>
    </w:p>
    <w:p w14:paraId="1C116919" w14:textId="33F14C7E" w:rsidR="009C0798" w:rsidRDefault="005B2938" w:rsidP="009C0798">
      <w:pPr>
        <w:jc w:val="both"/>
      </w:pPr>
      <w:r w:rsidRPr="00B704B6">
        <w:rPr>
          <w:rFonts w:eastAsia="MS Mincho"/>
          <w:lang w:eastAsia="ja-JP"/>
        </w:rPr>
        <w:t xml:space="preserve">In this contribution, we </w:t>
      </w:r>
      <w:r w:rsidR="009C0798">
        <w:rPr>
          <w:szCs w:val="20"/>
        </w:rPr>
        <w:t>provided our views on</w:t>
      </w:r>
      <w:r w:rsidR="00D92431">
        <w:rPr>
          <w:szCs w:val="20"/>
        </w:rPr>
        <w:t xml:space="preserve"> </w:t>
      </w:r>
      <w:r w:rsidR="0051475C">
        <w:rPr>
          <w:szCs w:val="20"/>
        </w:rPr>
        <w:t>beam management enhancement</w:t>
      </w:r>
      <w:r w:rsidR="00F7060A">
        <w:rPr>
          <w:szCs w:val="20"/>
        </w:rPr>
        <w:t xml:space="preserve">, and signaling of polarization information </w:t>
      </w:r>
      <w:r w:rsidR="0051475C">
        <w:rPr>
          <w:szCs w:val="20"/>
        </w:rPr>
        <w:t>in NTN</w:t>
      </w:r>
      <w:r w:rsidR="009C0798">
        <w:rPr>
          <w:szCs w:val="20"/>
        </w:rPr>
        <w:t xml:space="preserve">. </w:t>
      </w:r>
      <w:r w:rsidR="009C0798">
        <w:t xml:space="preserve">Our proposals are as follows: </w:t>
      </w:r>
    </w:p>
    <w:p w14:paraId="46532EF6" w14:textId="4C847A73" w:rsidR="00ED1185" w:rsidRDefault="00ED1185" w:rsidP="009C0798">
      <w:pPr>
        <w:jc w:val="both"/>
      </w:pPr>
    </w:p>
    <w:p w14:paraId="675B8263" w14:textId="77777777" w:rsidR="00325905" w:rsidRDefault="00325905" w:rsidP="00325905">
      <w:pPr>
        <w:jc w:val="both"/>
        <w:rPr>
          <w:i/>
        </w:rPr>
      </w:pPr>
      <w:r w:rsidRPr="001C381A">
        <w:rPr>
          <w:b/>
          <w:i/>
          <w:u w:val="single"/>
        </w:rPr>
        <w:t xml:space="preserve">Proposal </w:t>
      </w:r>
      <w:r>
        <w:rPr>
          <w:b/>
          <w:i/>
          <w:u w:val="single"/>
        </w:rPr>
        <w:t>1</w:t>
      </w:r>
      <w:r w:rsidRPr="001C381A">
        <w:rPr>
          <w:b/>
          <w:i/>
          <w:u w:val="single"/>
        </w:rPr>
        <w:t>:</w:t>
      </w:r>
      <w:r>
        <w:rPr>
          <w:i/>
        </w:rPr>
        <w:t xml:space="preserve"> Consider the association between satellite beam switching and BWP switching.</w:t>
      </w:r>
    </w:p>
    <w:p w14:paraId="3CA60D78" w14:textId="77777777" w:rsidR="00325905" w:rsidRDefault="00325905" w:rsidP="00325905">
      <w:pPr>
        <w:jc w:val="both"/>
        <w:rPr>
          <w:bCs/>
          <w:iCs/>
        </w:rPr>
      </w:pPr>
    </w:p>
    <w:p w14:paraId="495F97F3" w14:textId="22C2DD24" w:rsidR="00325905" w:rsidRDefault="00325905" w:rsidP="00325905">
      <w:pPr>
        <w:jc w:val="both"/>
        <w:rPr>
          <w:i/>
        </w:rPr>
      </w:pPr>
      <w:r w:rsidRPr="001C381A">
        <w:rPr>
          <w:b/>
          <w:i/>
          <w:u w:val="single"/>
        </w:rPr>
        <w:t xml:space="preserve">Proposal </w:t>
      </w:r>
      <w:r>
        <w:rPr>
          <w:b/>
          <w:i/>
          <w:u w:val="single"/>
        </w:rPr>
        <w:t>2</w:t>
      </w:r>
      <w:r w:rsidRPr="001C381A">
        <w:rPr>
          <w:b/>
          <w:i/>
          <w:u w:val="single"/>
        </w:rPr>
        <w:t>:</w:t>
      </w:r>
      <w:r>
        <w:rPr>
          <w:i/>
        </w:rPr>
        <w:t xml:space="preserve"> Consider the joint UL BWP switching and/or DL BWP switching, following the corresponding satellite beam switching. </w:t>
      </w:r>
    </w:p>
    <w:p w14:paraId="28AA8585" w14:textId="7CD874B3" w:rsidR="00325905" w:rsidRDefault="00325905" w:rsidP="00325905">
      <w:pPr>
        <w:jc w:val="both"/>
        <w:rPr>
          <w:i/>
        </w:rPr>
      </w:pPr>
    </w:p>
    <w:p w14:paraId="6BEB052F" w14:textId="77777777" w:rsidR="00325905" w:rsidRDefault="00325905" w:rsidP="00325905">
      <w:pPr>
        <w:jc w:val="both"/>
        <w:rPr>
          <w:i/>
        </w:rPr>
      </w:pPr>
      <w:r w:rsidRPr="001C381A">
        <w:rPr>
          <w:b/>
          <w:i/>
          <w:u w:val="single"/>
        </w:rPr>
        <w:t xml:space="preserve">Proposal </w:t>
      </w:r>
      <w:r>
        <w:rPr>
          <w:b/>
          <w:i/>
          <w:u w:val="single"/>
        </w:rPr>
        <w:t>3</w:t>
      </w:r>
      <w:r w:rsidRPr="001C381A">
        <w:rPr>
          <w:b/>
          <w:i/>
          <w:u w:val="single"/>
        </w:rPr>
        <w:t>:</w:t>
      </w:r>
      <w:r>
        <w:rPr>
          <w:i/>
        </w:rPr>
        <w:t xml:space="preserve"> Consider performing beam measurement either in initial BWP or in different BWPs with BWP switching.</w:t>
      </w:r>
    </w:p>
    <w:p w14:paraId="1701E6C0" w14:textId="77777777" w:rsidR="00325905" w:rsidRDefault="00325905" w:rsidP="00325905">
      <w:pPr>
        <w:jc w:val="both"/>
        <w:rPr>
          <w:i/>
        </w:rPr>
      </w:pPr>
    </w:p>
    <w:p w14:paraId="26A66F4D" w14:textId="77777777" w:rsidR="00B45BEF" w:rsidRDefault="00B45BEF" w:rsidP="00B45BEF">
      <w:pPr>
        <w:jc w:val="both"/>
        <w:rPr>
          <w:i/>
        </w:rPr>
      </w:pPr>
      <w:r w:rsidRPr="001C381A">
        <w:rPr>
          <w:b/>
          <w:i/>
          <w:u w:val="single"/>
        </w:rPr>
        <w:t xml:space="preserve">Proposal </w:t>
      </w:r>
      <w:r>
        <w:rPr>
          <w:b/>
          <w:i/>
          <w:u w:val="single"/>
        </w:rPr>
        <w:t>4</w:t>
      </w:r>
      <w:r w:rsidRPr="001C381A">
        <w:rPr>
          <w:b/>
          <w:i/>
          <w:u w:val="single"/>
        </w:rPr>
        <w:t>:</w:t>
      </w:r>
      <w:r>
        <w:rPr>
          <w:i/>
        </w:rPr>
        <w:t xml:space="preserve"> Regarding the usage of polarization, prioritize the support of inter-beam interference mitigation scenario. </w:t>
      </w:r>
    </w:p>
    <w:p w14:paraId="32EE7BC5" w14:textId="77777777" w:rsidR="0014578B" w:rsidRDefault="0014578B" w:rsidP="0014578B">
      <w:pPr>
        <w:jc w:val="both"/>
        <w:rPr>
          <w:iCs/>
        </w:rPr>
      </w:pPr>
    </w:p>
    <w:p w14:paraId="020EFB3A" w14:textId="77777777" w:rsidR="0014578B" w:rsidRDefault="0014578B" w:rsidP="0014578B">
      <w:pPr>
        <w:jc w:val="both"/>
        <w:rPr>
          <w:i/>
        </w:rPr>
      </w:pPr>
      <w:r w:rsidRPr="001C381A">
        <w:rPr>
          <w:b/>
          <w:i/>
          <w:u w:val="single"/>
        </w:rPr>
        <w:t xml:space="preserve">Proposal </w:t>
      </w:r>
      <w:r>
        <w:rPr>
          <w:b/>
          <w:i/>
          <w:u w:val="single"/>
        </w:rPr>
        <w:t>5</w:t>
      </w:r>
      <w:r w:rsidRPr="001C381A">
        <w:rPr>
          <w:b/>
          <w:i/>
          <w:u w:val="single"/>
        </w:rPr>
        <w:t>:</w:t>
      </w:r>
      <w:r>
        <w:rPr>
          <w:i/>
        </w:rPr>
        <w:t xml:space="preserve"> For inter-beam interference mitigation, the polarization information is configured in a beam specific manner and is signaled via SIB.</w:t>
      </w:r>
    </w:p>
    <w:p w14:paraId="13C89E90" w14:textId="77777777" w:rsidR="0014578B" w:rsidRDefault="0014578B" w:rsidP="0014578B">
      <w:pPr>
        <w:jc w:val="both"/>
        <w:rPr>
          <w:iCs/>
        </w:rPr>
      </w:pPr>
    </w:p>
    <w:p w14:paraId="1277C087" w14:textId="77777777" w:rsidR="0014578B" w:rsidRDefault="0014578B" w:rsidP="0014578B">
      <w:pPr>
        <w:jc w:val="both"/>
        <w:rPr>
          <w:iCs/>
        </w:rPr>
      </w:pPr>
      <w:r w:rsidRPr="001C381A">
        <w:rPr>
          <w:b/>
          <w:i/>
          <w:u w:val="single"/>
        </w:rPr>
        <w:t xml:space="preserve">Proposal </w:t>
      </w:r>
      <w:r>
        <w:rPr>
          <w:b/>
          <w:i/>
          <w:u w:val="single"/>
        </w:rPr>
        <w:t>6</w:t>
      </w:r>
      <w:r w:rsidRPr="001C381A">
        <w:rPr>
          <w:b/>
          <w:i/>
          <w:u w:val="single"/>
        </w:rPr>
        <w:t>:</w:t>
      </w:r>
      <w:r>
        <w:rPr>
          <w:i/>
        </w:rPr>
        <w:t xml:space="preserve"> UE polarization capability reporting is not supported for inter-beam interference mitigation. </w:t>
      </w:r>
    </w:p>
    <w:p w14:paraId="609986E2" w14:textId="77777777" w:rsidR="00325905" w:rsidRPr="00BA1F59" w:rsidRDefault="00325905" w:rsidP="00325905">
      <w:pPr>
        <w:jc w:val="both"/>
        <w:rPr>
          <w:bCs/>
          <w:iCs/>
        </w:rPr>
      </w:pPr>
    </w:p>
    <w:p w14:paraId="2E75F001" w14:textId="77777777" w:rsidR="007E70BB" w:rsidRPr="00A6576F" w:rsidRDefault="005C63AE" w:rsidP="007E70BB">
      <w:pPr>
        <w:pStyle w:val="Heading1"/>
      </w:pPr>
      <w:r w:rsidRPr="00A6576F">
        <w:lastRenderedPageBreak/>
        <w:t>References</w:t>
      </w:r>
    </w:p>
    <w:p w14:paraId="7D1E381A" w14:textId="4622C4CC" w:rsidR="0008668D" w:rsidRDefault="0008668D" w:rsidP="0008668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1" w:name="_Ref46861923"/>
      <w:bookmarkStart w:id="2" w:name="_Ref49784839"/>
      <w:bookmarkStart w:id="3" w:name="_Ref30519541"/>
      <w:bookmarkStart w:id="4" w:name="_Ref46861948"/>
      <w:bookmarkStart w:id="5" w:name="_Ref30499280"/>
      <w:r>
        <w:t>RP-2</w:t>
      </w:r>
      <w:r w:rsidR="002A4F9C">
        <w:t>10</w:t>
      </w:r>
      <w:r>
        <w:t xml:space="preserve">908, </w:t>
      </w:r>
      <w:r w:rsidR="00F66E48">
        <w:t>“</w:t>
      </w:r>
      <w:r>
        <w:t>Solutions for NR to support non-terrestrial networks (NTN),</w:t>
      </w:r>
      <w:r w:rsidR="00F66E48">
        <w:t>”</w:t>
      </w:r>
      <w:r>
        <w:t xml:space="preserve"> </w:t>
      </w:r>
      <w:r w:rsidR="002A4F9C">
        <w:t>Mar</w:t>
      </w:r>
      <w:r>
        <w:t>. 202</w:t>
      </w:r>
      <w:r w:rsidR="002A4F9C">
        <w:t>1</w:t>
      </w:r>
      <w:r>
        <w:t>.</w:t>
      </w:r>
      <w:bookmarkEnd w:id="1"/>
      <w:r>
        <w:t xml:space="preserve"> </w:t>
      </w:r>
    </w:p>
    <w:p w14:paraId="605F6B97" w14:textId="518327E4" w:rsidR="0099637F" w:rsidRDefault="0099637F" w:rsidP="0099637F">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6" w:name="_Ref60737901"/>
      <w:r>
        <w:t>R1-2</w:t>
      </w:r>
      <w:r w:rsidR="00870CF0">
        <w:t>1</w:t>
      </w:r>
      <w:r>
        <w:t>0</w:t>
      </w:r>
      <w:r w:rsidR="00870CF0">
        <w:t>2033</w:t>
      </w:r>
      <w:r w:rsidRPr="006609D4">
        <w:t>, “</w:t>
      </w:r>
      <w:r w:rsidRPr="006609D4">
        <w:rPr>
          <w:rFonts w:cs="Arial"/>
        </w:rPr>
        <w:t>Summary</w:t>
      </w:r>
      <w:r w:rsidR="0008668D">
        <w:rPr>
          <w:rFonts w:cs="Arial"/>
        </w:rPr>
        <w:t xml:space="preserve"> #</w:t>
      </w:r>
      <w:r w:rsidR="00870CF0">
        <w:rPr>
          <w:rFonts w:cs="Arial"/>
        </w:rPr>
        <w:t>2</w:t>
      </w:r>
      <w:r w:rsidRPr="006609D4">
        <w:rPr>
          <w:rFonts w:cs="Arial"/>
        </w:rPr>
        <w:t xml:space="preserve"> of 8.4.</w:t>
      </w:r>
      <w:r w:rsidR="00D77029" w:rsidRPr="006609D4">
        <w:rPr>
          <w:rFonts w:cs="Arial"/>
        </w:rPr>
        <w:t>4</w:t>
      </w:r>
      <w:r w:rsidRPr="006609D4">
        <w:rPr>
          <w:rFonts w:cs="Arial"/>
        </w:rPr>
        <w:t xml:space="preserve"> </w:t>
      </w:r>
      <w:r w:rsidR="00D77029" w:rsidRPr="006609D4">
        <w:rPr>
          <w:rFonts w:cs="Arial"/>
        </w:rPr>
        <w:t>Other aspects of NR-NTN</w:t>
      </w:r>
      <w:r w:rsidRPr="006609D4">
        <w:t xml:space="preserve">,” </w:t>
      </w:r>
      <w:r w:rsidR="00870CF0">
        <w:t>Feb</w:t>
      </w:r>
      <w:r w:rsidRPr="006609D4">
        <w:t>. 202</w:t>
      </w:r>
      <w:r w:rsidR="00870CF0">
        <w:t>1</w:t>
      </w:r>
      <w:r w:rsidRPr="006609D4">
        <w:t>.</w:t>
      </w:r>
      <w:bookmarkEnd w:id="2"/>
      <w:bookmarkEnd w:id="6"/>
      <w:r>
        <w:t xml:space="preserve">  </w:t>
      </w:r>
    </w:p>
    <w:p w14:paraId="2CF06167" w14:textId="2E71F794" w:rsidR="0099637F" w:rsidRDefault="00870CF0" w:rsidP="00B77CEA">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7" w:name="_Ref49784738"/>
      <w:bookmarkStart w:id="8" w:name="_Ref65481526"/>
      <w:r>
        <w:t>Chairman’s Notes, 3GPP TSG RAN1 WG1 #104-e Meeting, Feb. 2021.</w:t>
      </w:r>
      <w:bookmarkEnd w:id="3"/>
      <w:bookmarkEnd w:id="4"/>
      <w:bookmarkEnd w:id="5"/>
      <w:bookmarkEnd w:id="7"/>
      <w:bookmarkEnd w:id="8"/>
    </w:p>
    <w:p w14:paraId="399C8021" w14:textId="479CD09B" w:rsidR="0008668D" w:rsidRDefault="0008668D" w:rsidP="0008668D">
      <w:pPr>
        <w:numPr>
          <w:ilvl w:val="0"/>
          <w:numId w:val="10"/>
        </w:numPr>
        <w:tabs>
          <w:tab w:val="clear" w:pos="657"/>
        </w:tabs>
        <w:overflowPunct w:val="0"/>
        <w:autoSpaceDE w:val="0"/>
        <w:autoSpaceDN w:val="0"/>
        <w:adjustRightInd w:val="0"/>
        <w:spacing w:before="100" w:beforeAutospacing="1" w:after="120"/>
        <w:ind w:left="562" w:hanging="562"/>
        <w:jc w:val="both"/>
        <w:textAlignment w:val="baseline"/>
      </w:pPr>
      <w:bookmarkStart w:id="9" w:name="_Ref60737677"/>
      <w:r>
        <w:t>Chairman’s Notes, 3GPP TSG RAN1 WG1 #102-e Meeting, Aug. 2020.</w:t>
      </w:r>
      <w:bookmarkEnd w:id="9"/>
    </w:p>
    <w:sectPr w:rsidR="0008668D" w:rsidSect="00827761">
      <w:footerReference w:type="default" r:id="rId9"/>
      <w:footnotePr>
        <w:numRestart w:val="eachSect"/>
      </w:footnotePr>
      <w:pgSz w:w="11907" w:h="16840" w:code="9"/>
      <w:pgMar w:top="1418" w:right="1134" w:bottom="1134"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F54315" w14:textId="77777777" w:rsidR="00DE6EC3" w:rsidRDefault="00DE6EC3">
      <w:r>
        <w:separator/>
      </w:r>
    </w:p>
  </w:endnote>
  <w:endnote w:type="continuationSeparator" w:id="0">
    <w:p w14:paraId="012CDB9F" w14:textId="77777777" w:rsidR="00DE6EC3" w:rsidRDefault="00DE6EC3">
      <w:r>
        <w:continuationSeparator/>
      </w:r>
    </w:p>
  </w:endnote>
  <w:endnote w:type="continuationNotice" w:id="1">
    <w:p w14:paraId="523D947B" w14:textId="77777777" w:rsidR="00DE6EC3" w:rsidRDefault="00DE6EC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FE2E7" w14:textId="77777777" w:rsidR="009B064B" w:rsidRDefault="009B06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FFF621" w14:textId="77777777" w:rsidR="00DE6EC3" w:rsidRDefault="00DE6EC3">
      <w:r>
        <w:separator/>
      </w:r>
    </w:p>
  </w:footnote>
  <w:footnote w:type="continuationSeparator" w:id="0">
    <w:p w14:paraId="768EE269" w14:textId="77777777" w:rsidR="00DE6EC3" w:rsidRDefault="00DE6EC3">
      <w:r>
        <w:continuationSeparator/>
      </w:r>
    </w:p>
  </w:footnote>
  <w:footnote w:type="continuationNotice" w:id="1">
    <w:p w14:paraId="6A257E85" w14:textId="77777777" w:rsidR="00DE6EC3" w:rsidRDefault="00DE6EC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1"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7FD12D2"/>
    <w:multiLevelType w:val="hybridMultilevel"/>
    <w:tmpl w:val="7A9C485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 w15:restartNumberingAfterBreak="0">
    <w:nsid w:val="13F7282E"/>
    <w:multiLevelType w:val="hybridMultilevel"/>
    <w:tmpl w:val="360841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E717A35"/>
    <w:multiLevelType w:val="multilevel"/>
    <w:tmpl w:val="1E717A35"/>
    <w:lvl w:ilvl="0">
      <w:start w:val="1"/>
      <w:numFmt w:val="decimal"/>
      <w:lvlText w:val="%1."/>
      <w:lvlJc w:val="left"/>
      <w:pPr>
        <w:ind w:left="360" w:hanging="360"/>
      </w:pPr>
    </w:lvl>
    <w:lvl w:ilvl="1">
      <w:start w:val="1"/>
      <w:numFmt w:val="decimal"/>
      <w:lvlText w:val="%1.%2."/>
      <w:lvlJc w:val="left"/>
      <w:pPr>
        <w:ind w:left="792" w:hanging="432"/>
      </w:pPr>
      <w:rPr>
        <w:lang w:val="en-G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C7E24E0"/>
    <w:multiLevelType w:val="multilevel"/>
    <w:tmpl w:val="2C7E24E0"/>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Arial" w:hAnsi="Aria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EB5BF1"/>
    <w:multiLevelType w:val="hybridMultilevel"/>
    <w:tmpl w:val="BD6ED63A"/>
    <w:lvl w:ilvl="0" w:tplc="9D3CA12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2D97580"/>
    <w:multiLevelType w:val="multilevel"/>
    <w:tmpl w:val="F37684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D05900"/>
    <w:multiLevelType w:val="hybridMultilevel"/>
    <w:tmpl w:val="E69A2DBC"/>
    <w:lvl w:ilvl="0" w:tplc="990E26A8">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51ED306F"/>
    <w:multiLevelType w:val="hybridMultilevel"/>
    <w:tmpl w:val="BEE61A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3180C02"/>
    <w:multiLevelType w:val="hybridMultilevel"/>
    <w:tmpl w:val="B1F45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B035F7"/>
    <w:multiLevelType w:val="hybridMultilevel"/>
    <w:tmpl w:val="E1B683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CAF7709"/>
    <w:multiLevelType w:val="hybridMultilevel"/>
    <w:tmpl w:val="B8E6C474"/>
    <w:lvl w:ilvl="0" w:tplc="04090001">
      <w:start w:val="1"/>
      <w:numFmt w:val="bullet"/>
      <w:lvlText w:val=""/>
      <w:lvlJc w:val="left"/>
      <w:pPr>
        <w:ind w:left="1057" w:hanging="360"/>
      </w:pPr>
      <w:rPr>
        <w:rFonts w:ascii="Symbol" w:hAnsi="Symbol" w:hint="default"/>
      </w:rPr>
    </w:lvl>
    <w:lvl w:ilvl="1" w:tplc="04090003" w:tentative="1">
      <w:start w:val="1"/>
      <w:numFmt w:val="bullet"/>
      <w:lvlText w:val="o"/>
      <w:lvlJc w:val="left"/>
      <w:pPr>
        <w:ind w:left="1777" w:hanging="360"/>
      </w:pPr>
      <w:rPr>
        <w:rFonts w:ascii="Courier New" w:hAnsi="Courier New" w:cs="Courier New" w:hint="default"/>
      </w:rPr>
    </w:lvl>
    <w:lvl w:ilvl="2" w:tplc="04090005" w:tentative="1">
      <w:start w:val="1"/>
      <w:numFmt w:val="bullet"/>
      <w:lvlText w:val=""/>
      <w:lvlJc w:val="left"/>
      <w:pPr>
        <w:ind w:left="2497" w:hanging="360"/>
      </w:pPr>
      <w:rPr>
        <w:rFonts w:ascii="Wingdings" w:hAnsi="Wingdings" w:hint="default"/>
      </w:rPr>
    </w:lvl>
    <w:lvl w:ilvl="3" w:tplc="04090001" w:tentative="1">
      <w:start w:val="1"/>
      <w:numFmt w:val="bullet"/>
      <w:lvlText w:val=""/>
      <w:lvlJc w:val="left"/>
      <w:pPr>
        <w:ind w:left="3217" w:hanging="360"/>
      </w:pPr>
      <w:rPr>
        <w:rFonts w:ascii="Symbol" w:hAnsi="Symbol" w:hint="default"/>
      </w:rPr>
    </w:lvl>
    <w:lvl w:ilvl="4" w:tplc="04090003" w:tentative="1">
      <w:start w:val="1"/>
      <w:numFmt w:val="bullet"/>
      <w:lvlText w:val="o"/>
      <w:lvlJc w:val="left"/>
      <w:pPr>
        <w:ind w:left="3937" w:hanging="360"/>
      </w:pPr>
      <w:rPr>
        <w:rFonts w:ascii="Courier New" w:hAnsi="Courier New" w:cs="Courier New" w:hint="default"/>
      </w:rPr>
    </w:lvl>
    <w:lvl w:ilvl="5" w:tplc="04090005" w:tentative="1">
      <w:start w:val="1"/>
      <w:numFmt w:val="bullet"/>
      <w:lvlText w:val=""/>
      <w:lvlJc w:val="left"/>
      <w:pPr>
        <w:ind w:left="4657" w:hanging="360"/>
      </w:pPr>
      <w:rPr>
        <w:rFonts w:ascii="Wingdings" w:hAnsi="Wingdings" w:hint="default"/>
      </w:rPr>
    </w:lvl>
    <w:lvl w:ilvl="6" w:tplc="04090001" w:tentative="1">
      <w:start w:val="1"/>
      <w:numFmt w:val="bullet"/>
      <w:lvlText w:val=""/>
      <w:lvlJc w:val="left"/>
      <w:pPr>
        <w:ind w:left="5377" w:hanging="360"/>
      </w:pPr>
      <w:rPr>
        <w:rFonts w:ascii="Symbol" w:hAnsi="Symbol" w:hint="default"/>
      </w:rPr>
    </w:lvl>
    <w:lvl w:ilvl="7" w:tplc="04090003" w:tentative="1">
      <w:start w:val="1"/>
      <w:numFmt w:val="bullet"/>
      <w:lvlText w:val="o"/>
      <w:lvlJc w:val="left"/>
      <w:pPr>
        <w:ind w:left="6097" w:hanging="360"/>
      </w:pPr>
      <w:rPr>
        <w:rFonts w:ascii="Courier New" w:hAnsi="Courier New" w:cs="Courier New" w:hint="default"/>
      </w:rPr>
    </w:lvl>
    <w:lvl w:ilvl="8" w:tplc="04090005" w:tentative="1">
      <w:start w:val="1"/>
      <w:numFmt w:val="bullet"/>
      <w:lvlText w:val=""/>
      <w:lvlJc w:val="left"/>
      <w:pPr>
        <w:ind w:left="6817" w:hanging="360"/>
      </w:pPr>
      <w:rPr>
        <w:rFonts w:ascii="Wingdings" w:hAnsi="Wingdings" w:hint="default"/>
      </w:rPr>
    </w:lvl>
  </w:abstractNum>
  <w:abstractNum w:abstractNumId="26" w15:restartNumberingAfterBreak="0">
    <w:nsid w:val="61E3002A"/>
    <w:multiLevelType w:val="hybridMultilevel"/>
    <w:tmpl w:val="69AC4D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85258B2"/>
    <w:multiLevelType w:val="multilevel"/>
    <w:tmpl w:val="DCAC5CE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lowerLetter"/>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71662E06"/>
    <w:multiLevelType w:val="hybridMultilevel"/>
    <w:tmpl w:val="AB28C4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7"/>
  </w:num>
  <w:num w:numId="3">
    <w:abstractNumId w:val="13"/>
  </w:num>
  <w:num w:numId="4">
    <w:abstractNumId w:val="14"/>
  </w:num>
  <w:num w:numId="5">
    <w:abstractNumId w:val="9"/>
  </w:num>
  <w:num w:numId="6">
    <w:abstractNumId w:val="16"/>
  </w:num>
  <w:num w:numId="7">
    <w:abstractNumId w:val="23"/>
  </w:num>
  <w:num w:numId="8">
    <w:abstractNumId w:val="10"/>
  </w:num>
  <w:num w:numId="9">
    <w:abstractNumId w:val="19"/>
  </w:num>
  <w:num w:numId="10">
    <w:abstractNumId w:val="0"/>
  </w:num>
  <w:num w:numId="11">
    <w:abstractNumId w:val="25"/>
  </w:num>
  <w:num w:numId="12">
    <w:abstractNumId w:val="3"/>
  </w:num>
  <w:num w:numId="13">
    <w:abstractNumId w:val="21"/>
  </w:num>
  <w:num w:numId="14">
    <w:abstractNumId w:val="15"/>
  </w:num>
  <w:num w:numId="15">
    <w:abstractNumId w:val="27"/>
  </w:num>
  <w:num w:numId="16">
    <w:abstractNumId w:val="29"/>
  </w:num>
  <w:num w:numId="17">
    <w:abstractNumId w:val="8"/>
  </w:num>
  <w:num w:numId="18">
    <w:abstractNumId w:val="24"/>
  </w:num>
  <w:num w:numId="19">
    <w:abstractNumId w:val="12"/>
  </w:num>
  <w:num w:numId="20">
    <w:abstractNumId w:val="7"/>
  </w:num>
  <w:num w:numId="21">
    <w:abstractNumId w:val="20"/>
  </w:num>
  <w:num w:numId="22">
    <w:abstractNumId w:val="4"/>
  </w:num>
  <w:num w:numId="23">
    <w:abstractNumId w:val="18"/>
  </w:num>
  <w:num w:numId="24">
    <w:abstractNumId w:val="5"/>
  </w:num>
  <w:num w:numId="25">
    <w:abstractNumId w:val="18"/>
  </w:num>
  <w:num w:numId="26">
    <w:abstractNumId w:val="2"/>
  </w:num>
  <w:num w:numId="27">
    <w:abstractNumId w:val="11"/>
  </w:num>
  <w:num w:numId="28">
    <w:abstractNumId w:val="28"/>
  </w:num>
  <w:num w:numId="29">
    <w:abstractNumId w:val="26"/>
  </w:num>
  <w:num w:numId="30">
    <w:abstractNumId w:val="6"/>
  </w:num>
  <w:num w:numId="31">
    <w:abstractNumId w:val="2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60"/>
  <w:removePersonalInformation/>
  <w:removeDateAndTime/>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1EE"/>
    <w:rsid w:val="000005BE"/>
    <w:rsid w:val="000006E1"/>
    <w:rsid w:val="00000B51"/>
    <w:rsid w:val="00000FED"/>
    <w:rsid w:val="00001AAC"/>
    <w:rsid w:val="00001DAB"/>
    <w:rsid w:val="00002821"/>
    <w:rsid w:val="00002A37"/>
    <w:rsid w:val="0000317E"/>
    <w:rsid w:val="00003514"/>
    <w:rsid w:val="000048A7"/>
    <w:rsid w:val="00004900"/>
    <w:rsid w:val="00004BB1"/>
    <w:rsid w:val="00004BE5"/>
    <w:rsid w:val="00006446"/>
    <w:rsid w:val="0000685E"/>
    <w:rsid w:val="00006896"/>
    <w:rsid w:val="00006B58"/>
    <w:rsid w:val="00007198"/>
    <w:rsid w:val="000072C8"/>
    <w:rsid w:val="00007CDC"/>
    <w:rsid w:val="00007E8B"/>
    <w:rsid w:val="00007EF0"/>
    <w:rsid w:val="000102B4"/>
    <w:rsid w:val="0001039D"/>
    <w:rsid w:val="000117C7"/>
    <w:rsid w:val="00011837"/>
    <w:rsid w:val="00011B28"/>
    <w:rsid w:val="00012594"/>
    <w:rsid w:val="0001274F"/>
    <w:rsid w:val="00013762"/>
    <w:rsid w:val="00014220"/>
    <w:rsid w:val="00014878"/>
    <w:rsid w:val="00014D88"/>
    <w:rsid w:val="000155D3"/>
    <w:rsid w:val="00015D15"/>
    <w:rsid w:val="000160B2"/>
    <w:rsid w:val="000168AE"/>
    <w:rsid w:val="00016C9A"/>
    <w:rsid w:val="00017404"/>
    <w:rsid w:val="00017528"/>
    <w:rsid w:val="00017927"/>
    <w:rsid w:val="000202F4"/>
    <w:rsid w:val="000207A2"/>
    <w:rsid w:val="0002093E"/>
    <w:rsid w:val="00021321"/>
    <w:rsid w:val="00023408"/>
    <w:rsid w:val="000243BF"/>
    <w:rsid w:val="0002564D"/>
    <w:rsid w:val="00025AC4"/>
    <w:rsid w:val="00025BF3"/>
    <w:rsid w:val="00025E2F"/>
    <w:rsid w:val="00025ECA"/>
    <w:rsid w:val="000267A1"/>
    <w:rsid w:val="00027218"/>
    <w:rsid w:val="00027939"/>
    <w:rsid w:val="00027988"/>
    <w:rsid w:val="00027BD2"/>
    <w:rsid w:val="0003198A"/>
    <w:rsid w:val="00031A91"/>
    <w:rsid w:val="000325B8"/>
    <w:rsid w:val="000338CF"/>
    <w:rsid w:val="00033B4F"/>
    <w:rsid w:val="00033F51"/>
    <w:rsid w:val="0003438B"/>
    <w:rsid w:val="000345BA"/>
    <w:rsid w:val="0003476B"/>
    <w:rsid w:val="00034C15"/>
    <w:rsid w:val="00035672"/>
    <w:rsid w:val="00036BA1"/>
    <w:rsid w:val="0003770D"/>
    <w:rsid w:val="00037E0E"/>
    <w:rsid w:val="00037FBF"/>
    <w:rsid w:val="0004032D"/>
    <w:rsid w:val="0004137F"/>
    <w:rsid w:val="00041768"/>
    <w:rsid w:val="00042269"/>
    <w:rsid w:val="000422E2"/>
    <w:rsid w:val="00042593"/>
    <w:rsid w:val="00042F22"/>
    <w:rsid w:val="000436C0"/>
    <w:rsid w:val="000444EF"/>
    <w:rsid w:val="00044942"/>
    <w:rsid w:val="00044BF7"/>
    <w:rsid w:val="00045523"/>
    <w:rsid w:val="00045EB6"/>
    <w:rsid w:val="000460EB"/>
    <w:rsid w:val="000468D3"/>
    <w:rsid w:val="00046F1C"/>
    <w:rsid w:val="00047568"/>
    <w:rsid w:val="00047C44"/>
    <w:rsid w:val="00047D40"/>
    <w:rsid w:val="00050314"/>
    <w:rsid w:val="000504EF"/>
    <w:rsid w:val="00050779"/>
    <w:rsid w:val="000508AD"/>
    <w:rsid w:val="000514F9"/>
    <w:rsid w:val="0005170D"/>
    <w:rsid w:val="00052A07"/>
    <w:rsid w:val="00052B3B"/>
    <w:rsid w:val="000534E3"/>
    <w:rsid w:val="0005407B"/>
    <w:rsid w:val="00054A5B"/>
    <w:rsid w:val="00054B77"/>
    <w:rsid w:val="00054C1B"/>
    <w:rsid w:val="0005511A"/>
    <w:rsid w:val="0005537B"/>
    <w:rsid w:val="00055A6C"/>
    <w:rsid w:val="00055B95"/>
    <w:rsid w:val="0005606A"/>
    <w:rsid w:val="00057117"/>
    <w:rsid w:val="000576A8"/>
    <w:rsid w:val="00057C12"/>
    <w:rsid w:val="0006008B"/>
    <w:rsid w:val="0006036B"/>
    <w:rsid w:val="0006081F"/>
    <w:rsid w:val="000608BD"/>
    <w:rsid w:val="00060AC4"/>
    <w:rsid w:val="00061414"/>
    <w:rsid w:val="00061485"/>
    <w:rsid w:val="0006157B"/>
    <w:rsid w:val="000616E7"/>
    <w:rsid w:val="000622A6"/>
    <w:rsid w:val="000626CA"/>
    <w:rsid w:val="0006389C"/>
    <w:rsid w:val="00064085"/>
    <w:rsid w:val="0006487E"/>
    <w:rsid w:val="000650C1"/>
    <w:rsid w:val="00065200"/>
    <w:rsid w:val="00065E1A"/>
    <w:rsid w:val="000668B8"/>
    <w:rsid w:val="00067759"/>
    <w:rsid w:val="000707A2"/>
    <w:rsid w:val="000708A3"/>
    <w:rsid w:val="00071F96"/>
    <w:rsid w:val="000721FE"/>
    <w:rsid w:val="00072B34"/>
    <w:rsid w:val="0007330B"/>
    <w:rsid w:val="00075AB6"/>
    <w:rsid w:val="00075C5D"/>
    <w:rsid w:val="0007717C"/>
    <w:rsid w:val="00077B17"/>
    <w:rsid w:val="00077D33"/>
    <w:rsid w:val="00077E5F"/>
    <w:rsid w:val="0008036A"/>
    <w:rsid w:val="0008055F"/>
    <w:rsid w:val="00080878"/>
    <w:rsid w:val="00080A67"/>
    <w:rsid w:val="00080CEF"/>
    <w:rsid w:val="000819CF"/>
    <w:rsid w:val="00081AE6"/>
    <w:rsid w:val="00081DAA"/>
    <w:rsid w:val="00082AA2"/>
    <w:rsid w:val="00082E93"/>
    <w:rsid w:val="00083B14"/>
    <w:rsid w:val="00083EC4"/>
    <w:rsid w:val="00084D9F"/>
    <w:rsid w:val="00084F6E"/>
    <w:rsid w:val="00084FAB"/>
    <w:rsid w:val="000851AB"/>
    <w:rsid w:val="000855EB"/>
    <w:rsid w:val="000856E5"/>
    <w:rsid w:val="0008576C"/>
    <w:rsid w:val="00085B39"/>
    <w:rsid w:val="00085B52"/>
    <w:rsid w:val="00085BA5"/>
    <w:rsid w:val="00085CB0"/>
    <w:rsid w:val="00086308"/>
    <w:rsid w:val="000865C0"/>
    <w:rsid w:val="0008668D"/>
    <w:rsid w:val="000866F2"/>
    <w:rsid w:val="00086ABF"/>
    <w:rsid w:val="00086AFB"/>
    <w:rsid w:val="00086B78"/>
    <w:rsid w:val="00086DC0"/>
    <w:rsid w:val="00087027"/>
    <w:rsid w:val="000873E8"/>
    <w:rsid w:val="0009009F"/>
    <w:rsid w:val="000901F0"/>
    <w:rsid w:val="00090852"/>
    <w:rsid w:val="00090C4D"/>
    <w:rsid w:val="00090CB9"/>
    <w:rsid w:val="00090E33"/>
    <w:rsid w:val="000910E3"/>
    <w:rsid w:val="00091557"/>
    <w:rsid w:val="000924C1"/>
    <w:rsid w:val="000924F0"/>
    <w:rsid w:val="000929A8"/>
    <w:rsid w:val="00093279"/>
    <w:rsid w:val="00093474"/>
    <w:rsid w:val="0009369F"/>
    <w:rsid w:val="000936AE"/>
    <w:rsid w:val="000939E6"/>
    <w:rsid w:val="00093C1C"/>
    <w:rsid w:val="000946AD"/>
    <w:rsid w:val="0009510F"/>
    <w:rsid w:val="000954FB"/>
    <w:rsid w:val="00095575"/>
    <w:rsid w:val="0009557D"/>
    <w:rsid w:val="0009595C"/>
    <w:rsid w:val="000968C1"/>
    <w:rsid w:val="000972CE"/>
    <w:rsid w:val="000973EF"/>
    <w:rsid w:val="000A04E1"/>
    <w:rsid w:val="000A0610"/>
    <w:rsid w:val="000A099C"/>
    <w:rsid w:val="000A0C0B"/>
    <w:rsid w:val="000A121B"/>
    <w:rsid w:val="000A1676"/>
    <w:rsid w:val="000A18D4"/>
    <w:rsid w:val="000A1967"/>
    <w:rsid w:val="000A1B7B"/>
    <w:rsid w:val="000A1BCE"/>
    <w:rsid w:val="000A2785"/>
    <w:rsid w:val="000A2B1B"/>
    <w:rsid w:val="000A3D91"/>
    <w:rsid w:val="000A4016"/>
    <w:rsid w:val="000A4455"/>
    <w:rsid w:val="000A4DBC"/>
    <w:rsid w:val="000A53AC"/>
    <w:rsid w:val="000A54F0"/>
    <w:rsid w:val="000A56F2"/>
    <w:rsid w:val="000A59FD"/>
    <w:rsid w:val="000A5DDE"/>
    <w:rsid w:val="000A5E1D"/>
    <w:rsid w:val="000A61F3"/>
    <w:rsid w:val="000A6644"/>
    <w:rsid w:val="000A6B7D"/>
    <w:rsid w:val="000A6DA2"/>
    <w:rsid w:val="000A7068"/>
    <w:rsid w:val="000A7215"/>
    <w:rsid w:val="000A7B19"/>
    <w:rsid w:val="000A7CEF"/>
    <w:rsid w:val="000A7D50"/>
    <w:rsid w:val="000B028B"/>
    <w:rsid w:val="000B0E9F"/>
    <w:rsid w:val="000B1180"/>
    <w:rsid w:val="000B1891"/>
    <w:rsid w:val="000B2719"/>
    <w:rsid w:val="000B2BFB"/>
    <w:rsid w:val="000B2CE9"/>
    <w:rsid w:val="000B3252"/>
    <w:rsid w:val="000B3509"/>
    <w:rsid w:val="000B35EE"/>
    <w:rsid w:val="000B37B6"/>
    <w:rsid w:val="000B38F0"/>
    <w:rsid w:val="000B3A8F"/>
    <w:rsid w:val="000B3CC2"/>
    <w:rsid w:val="000B4067"/>
    <w:rsid w:val="000B439C"/>
    <w:rsid w:val="000B4738"/>
    <w:rsid w:val="000B4AB9"/>
    <w:rsid w:val="000B51F4"/>
    <w:rsid w:val="000B58C3"/>
    <w:rsid w:val="000B5B9C"/>
    <w:rsid w:val="000B610B"/>
    <w:rsid w:val="000B61E9"/>
    <w:rsid w:val="000B6B0E"/>
    <w:rsid w:val="000B6DD7"/>
    <w:rsid w:val="000B7445"/>
    <w:rsid w:val="000B77FA"/>
    <w:rsid w:val="000B7AF8"/>
    <w:rsid w:val="000B7B28"/>
    <w:rsid w:val="000C00A7"/>
    <w:rsid w:val="000C0CA3"/>
    <w:rsid w:val="000C0D78"/>
    <w:rsid w:val="000C139E"/>
    <w:rsid w:val="000C165A"/>
    <w:rsid w:val="000C16C8"/>
    <w:rsid w:val="000C1903"/>
    <w:rsid w:val="000C1B98"/>
    <w:rsid w:val="000C1BF0"/>
    <w:rsid w:val="000C2A16"/>
    <w:rsid w:val="000C2E19"/>
    <w:rsid w:val="000C37F9"/>
    <w:rsid w:val="000C3B1C"/>
    <w:rsid w:val="000C41BB"/>
    <w:rsid w:val="000C4735"/>
    <w:rsid w:val="000C4736"/>
    <w:rsid w:val="000C4DA5"/>
    <w:rsid w:val="000C4FA6"/>
    <w:rsid w:val="000C51B3"/>
    <w:rsid w:val="000C67A3"/>
    <w:rsid w:val="000C6C5E"/>
    <w:rsid w:val="000C7530"/>
    <w:rsid w:val="000C7FBF"/>
    <w:rsid w:val="000D05B3"/>
    <w:rsid w:val="000D0D07"/>
    <w:rsid w:val="000D0DA1"/>
    <w:rsid w:val="000D0DD0"/>
    <w:rsid w:val="000D0EFF"/>
    <w:rsid w:val="000D17F5"/>
    <w:rsid w:val="000D1D69"/>
    <w:rsid w:val="000D1F2E"/>
    <w:rsid w:val="000D1F94"/>
    <w:rsid w:val="000D2961"/>
    <w:rsid w:val="000D40C8"/>
    <w:rsid w:val="000D4797"/>
    <w:rsid w:val="000D4B25"/>
    <w:rsid w:val="000D4FAC"/>
    <w:rsid w:val="000D50DB"/>
    <w:rsid w:val="000D59C5"/>
    <w:rsid w:val="000D6423"/>
    <w:rsid w:val="000D6841"/>
    <w:rsid w:val="000D6B25"/>
    <w:rsid w:val="000D6F7A"/>
    <w:rsid w:val="000D71F4"/>
    <w:rsid w:val="000D7BDE"/>
    <w:rsid w:val="000E0527"/>
    <w:rsid w:val="000E0855"/>
    <w:rsid w:val="000E0A04"/>
    <w:rsid w:val="000E113C"/>
    <w:rsid w:val="000E1875"/>
    <w:rsid w:val="000E1E92"/>
    <w:rsid w:val="000E3413"/>
    <w:rsid w:val="000E3A5F"/>
    <w:rsid w:val="000E3B59"/>
    <w:rsid w:val="000E3CE6"/>
    <w:rsid w:val="000E49DC"/>
    <w:rsid w:val="000E4B42"/>
    <w:rsid w:val="000E5750"/>
    <w:rsid w:val="000E7118"/>
    <w:rsid w:val="000E7568"/>
    <w:rsid w:val="000E7757"/>
    <w:rsid w:val="000E7FA9"/>
    <w:rsid w:val="000F06D6"/>
    <w:rsid w:val="000F0EB1"/>
    <w:rsid w:val="000F1106"/>
    <w:rsid w:val="000F186D"/>
    <w:rsid w:val="000F19FE"/>
    <w:rsid w:val="000F2053"/>
    <w:rsid w:val="000F2947"/>
    <w:rsid w:val="000F3BE9"/>
    <w:rsid w:val="000F3F6C"/>
    <w:rsid w:val="000F4E73"/>
    <w:rsid w:val="000F5184"/>
    <w:rsid w:val="000F5E39"/>
    <w:rsid w:val="000F63FD"/>
    <w:rsid w:val="000F6DF3"/>
    <w:rsid w:val="000F75D8"/>
    <w:rsid w:val="001002DA"/>
    <w:rsid w:val="001005FF"/>
    <w:rsid w:val="00100D9C"/>
    <w:rsid w:val="001012B0"/>
    <w:rsid w:val="00102304"/>
    <w:rsid w:val="0010434A"/>
    <w:rsid w:val="001045CC"/>
    <w:rsid w:val="00104D81"/>
    <w:rsid w:val="00104FC1"/>
    <w:rsid w:val="001062FB"/>
    <w:rsid w:val="001063E6"/>
    <w:rsid w:val="0010678F"/>
    <w:rsid w:val="00106C42"/>
    <w:rsid w:val="0010713F"/>
    <w:rsid w:val="00107310"/>
    <w:rsid w:val="001076C5"/>
    <w:rsid w:val="00107864"/>
    <w:rsid w:val="00110596"/>
    <w:rsid w:val="00110C67"/>
    <w:rsid w:val="0011121F"/>
    <w:rsid w:val="00112A0F"/>
    <w:rsid w:val="00113153"/>
    <w:rsid w:val="00113168"/>
    <w:rsid w:val="00113C17"/>
    <w:rsid w:val="00113CF4"/>
    <w:rsid w:val="00113D95"/>
    <w:rsid w:val="00114740"/>
    <w:rsid w:val="0011533F"/>
    <w:rsid w:val="001153EA"/>
    <w:rsid w:val="00115643"/>
    <w:rsid w:val="00116765"/>
    <w:rsid w:val="00116EDA"/>
    <w:rsid w:val="0011738D"/>
    <w:rsid w:val="001174EF"/>
    <w:rsid w:val="00117850"/>
    <w:rsid w:val="00117EB6"/>
    <w:rsid w:val="001209F6"/>
    <w:rsid w:val="001219F5"/>
    <w:rsid w:val="00121A20"/>
    <w:rsid w:val="00121FDD"/>
    <w:rsid w:val="00122388"/>
    <w:rsid w:val="00122DF9"/>
    <w:rsid w:val="00122F2E"/>
    <w:rsid w:val="0012377F"/>
    <w:rsid w:val="00123C02"/>
    <w:rsid w:val="00123D95"/>
    <w:rsid w:val="0012408C"/>
    <w:rsid w:val="00124314"/>
    <w:rsid w:val="00124761"/>
    <w:rsid w:val="00124A77"/>
    <w:rsid w:val="001257E2"/>
    <w:rsid w:val="00125A4D"/>
    <w:rsid w:val="00125AD9"/>
    <w:rsid w:val="00125B83"/>
    <w:rsid w:val="00125C2F"/>
    <w:rsid w:val="00125DD0"/>
    <w:rsid w:val="00126ABE"/>
    <w:rsid w:val="00126B4A"/>
    <w:rsid w:val="00126EC7"/>
    <w:rsid w:val="0012701E"/>
    <w:rsid w:val="001277C2"/>
    <w:rsid w:val="00127A52"/>
    <w:rsid w:val="00127E45"/>
    <w:rsid w:val="00130288"/>
    <w:rsid w:val="001302FA"/>
    <w:rsid w:val="00130626"/>
    <w:rsid w:val="00130B6B"/>
    <w:rsid w:val="00130D0E"/>
    <w:rsid w:val="00131A54"/>
    <w:rsid w:val="00131E55"/>
    <w:rsid w:val="0013216D"/>
    <w:rsid w:val="0013219E"/>
    <w:rsid w:val="00132225"/>
    <w:rsid w:val="00132312"/>
    <w:rsid w:val="00132A13"/>
    <w:rsid w:val="00132FD0"/>
    <w:rsid w:val="00133E1C"/>
    <w:rsid w:val="00133E57"/>
    <w:rsid w:val="0013408B"/>
    <w:rsid w:val="001344A3"/>
    <w:rsid w:val="001344C0"/>
    <w:rsid w:val="001346FA"/>
    <w:rsid w:val="00135252"/>
    <w:rsid w:val="00135881"/>
    <w:rsid w:val="00135905"/>
    <w:rsid w:val="001360D8"/>
    <w:rsid w:val="001363EF"/>
    <w:rsid w:val="0013673C"/>
    <w:rsid w:val="00136C56"/>
    <w:rsid w:val="00136C9E"/>
    <w:rsid w:val="00136CC2"/>
    <w:rsid w:val="00136F62"/>
    <w:rsid w:val="001372E4"/>
    <w:rsid w:val="00137AB5"/>
    <w:rsid w:val="00137F0B"/>
    <w:rsid w:val="001405B9"/>
    <w:rsid w:val="00140CDB"/>
    <w:rsid w:val="00140FC4"/>
    <w:rsid w:val="00140FE3"/>
    <w:rsid w:val="001426A2"/>
    <w:rsid w:val="00143656"/>
    <w:rsid w:val="00143695"/>
    <w:rsid w:val="00143DDE"/>
    <w:rsid w:val="00144892"/>
    <w:rsid w:val="00144A2C"/>
    <w:rsid w:val="00144A81"/>
    <w:rsid w:val="0014578B"/>
    <w:rsid w:val="00145FE2"/>
    <w:rsid w:val="001469D4"/>
    <w:rsid w:val="00147F55"/>
    <w:rsid w:val="001501DB"/>
    <w:rsid w:val="00150AB6"/>
    <w:rsid w:val="00150F90"/>
    <w:rsid w:val="00151178"/>
    <w:rsid w:val="00151189"/>
    <w:rsid w:val="00151B5D"/>
    <w:rsid w:val="00151E23"/>
    <w:rsid w:val="00152321"/>
    <w:rsid w:val="001523F3"/>
    <w:rsid w:val="001526E0"/>
    <w:rsid w:val="00153A1F"/>
    <w:rsid w:val="00153A3C"/>
    <w:rsid w:val="00154671"/>
    <w:rsid w:val="00155135"/>
    <w:rsid w:val="00155155"/>
    <w:rsid w:val="001551B5"/>
    <w:rsid w:val="001554CA"/>
    <w:rsid w:val="00155512"/>
    <w:rsid w:val="001556BD"/>
    <w:rsid w:val="00157B9D"/>
    <w:rsid w:val="00157C5B"/>
    <w:rsid w:val="00157E3A"/>
    <w:rsid w:val="0016002E"/>
    <w:rsid w:val="00160069"/>
    <w:rsid w:val="001600EE"/>
    <w:rsid w:val="00160485"/>
    <w:rsid w:val="00160C36"/>
    <w:rsid w:val="001610B1"/>
    <w:rsid w:val="001621FB"/>
    <w:rsid w:val="001622D5"/>
    <w:rsid w:val="001643A8"/>
    <w:rsid w:val="001644AA"/>
    <w:rsid w:val="00164617"/>
    <w:rsid w:val="00164D7A"/>
    <w:rsid w:val="00164EB3"/>
    <w:rsid w:val="001658F5"/>
    <w:rsid w:val="001659C1"/>
    <w:rsid w:val="00165F8E"/>
    <w:rsid w:val="00166025"/>
    <w:rsid w:val="00166030"/>
    <w:rsid w:val="00167FD2"/>
    <w:rsid w:val="001701F0"/>
    <w:rsid w:val="001702E2"/>
    <w:rsid w:val="00170763"/>
    <w:rsid w:val="00170E4E"/>
    <w:rsid w:val="00171238"/>
    <w:rsid w:val="0017131F"/>
    <w:rsid w:val="00171D65"/>
    <w:rsid w:val="001724AD"/>
    <w:rsid w:val="00172FC1"/>
    <w:rsid w:val="00173A8E"/>
    <w:rsid w:val="001744BB"/>
    <w:rsid w:val="001744DF"/>
    <w:rsid w:val="0017453A"/>
    <w:rsid w:val="001745E4"/>
    <w:rsid w:val="00174BAC"/>
    <w:rsid w:val="00174E65"/>
    <w:rsid w:val="001752FA"/>
    <w:rsid w:val="00175358"/>
    <w:rsid w:val="00175426"/>
    <w:rsid w:val="001770A8"/>
    <w:rsid w:val="00177795"/>
    <w:rsid w:val="001801A7"/>
    <w:rsid w:val="00180B4A"/>
    <w:rsid w:val="0018143F"/>
    <w:rsid w:val="001815BA"/>
    <w:rsid w:val="001815DD"/>
    <w:rsid w:val="00181A6B"/>
    <w:rsid w:val="00182925"/>
    <w:rsid w:val="001836C2"/>
    <w:rsid w:val="001836F6"/>
    <w:rsid w:val="00183ED8"/>
    <w:rsid w:val="00184052"/>
    <w:rsid w:val="00184A9B"/>
    <w:rsid w:val="00185D66"/>
    <w:rsid w:val="00186D59"/>
    <w:rsid w:val="001871DD"/>
    <w:rsid w:val="00187930"/>
    <w:rsid w:val="00190AC1"/>
    <w:rsid w:val="001927DF"/>
    <w:rsid w:val="001932FC"/>
    <w:rsid w:val="0019341A"/>
    <w:rsid w:val="00193704"/>
    <w:rsid w:val="0019487F"/>
    <w:rsid w:val="00194B49"/>
    <w:rsid w:val="00194F24"/>
    <w:rsid w:val="00195196"/>
    <w:rsid w:val="001958BF"/>
    <w:rsid w:val="0019604B"/>
    <w:rsid w:val="00196A3C"/>
    <w:rsid w:val="00197402"/>
    <w:rsid w:val="0019757B"/>
    <w:rsid w:val="00197DF9"/>
    <w:rsid w:val="001A0F35"/>
    <w:rsid w:val="001A10BD"/>
    <w:rsid w:val="001A1549"/>
    <w:rsid w:val="001A190E"/>
    <w:rsid w:val="001A1987"/>
    <w:rsid w:val="001A2564"/>
    <w:rsid w:val="001A2707"/>
    <w:rsid w:val="001A279E"/>
    <w:rsid w:val="001A3324"/>
    <w:rsid w:val="001A33C5"/>
    <w:rsid w:val="001A464A"/>
    <w:rsid w:val="001A48E8"/>
    <w:rsid w:val="001A4AD0"/>
    <w:rsid w:val="001A6173"/>
    <w:rsid w:val="001A6657"/>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530"/>
    <w:rsid w:val="001B59DA"/>
    <w:rsid w:val="001B5A5D"/>
    <w:rsid w:val="001B612E"/>
    <w:rsid w:val="001B6813"/>
    <w:rsid w:val="001B68B3"/>
    <w:rsid w:val="001B796C"/>
    <w:rsid w:val="001B7A0B"/>
    <w:rsid w:val="001B7F5A"/>
    <w:rsid w:val="001C0105"/>
    <w:rsid w:val="001C06CE"/>
    <w:rsid w:val="001C1CE5"/>
    <w:rsid w:val="001C2657"/>
    <w:rsid w:val="001C279F"/>
    <w:rsid w:val="001C3258"/>
    <w:rsid w:val="001C373E"/>
    <w:rsid w:val="001C377F"/>
    <w:rsid w:val="001C3CFF"/>
    <w:rsid w:val="001C3D2A"/>
    <w:rsid w:val="001C40B1"/>
    <w:rsid w:val="001C4924"/>
    <w:rsid w:val="001C4B19"/>
    <w:rsid w:val="001C5118"/>
    <w:rsid w:val="001C5574"/>
    <w:rsid w:val="001C5726"/>
    <w:rsid w:val="001C6495"/>
    <w:rsid w:val="001C7019"/>
    <w:rsid w:val="001C7241"/>
    <w:rsid w:val="001C72C0"/>
    <w:rsid w:val="001C73A8"/>
    <w:rsid w:val="001C7EDE"/>
    <w:rsid w:val="001D1648"/>
    <w:rsid w:val="001D1DCC"/>
    <w:rsid w:val="001D1F94"/>
    <w:rsid w:val="001D2EEA"/>
    <w:rsid w:val="001D2FD9"/>
    <w:rsid w:val="001D302B"/>
    <w:rsid w:val="001D3177"/>
    <w:rsid w:val="001D3954"/>
    <w:rsid w:val="001D42FB"/>
    <w:rsid w:val="001D479D"/>
    <w:rsid w:val="001D4917"/>
    <w:rsid w:val="001D51BA"/>
    <w:rsid w:val="001D53DE"/>
    <w:rsid w:val="001D5635"/>
    <w:rsid w:val="001D56A3"/>
    <w:rsid w:val="001D5702"/>
    <w:rsid w:val="001D6342"/>
    <w:rsid w:val="001D6C6F"/>
    <w:rsid w:val="001D6D53"/>
    <w:rsid w:val="001D6F08"/>
    <w:rsid w:val="001D776C"/>
    <w:rsid w:val="001E01F8"/>
    <w:rsid w:val="001E0902"/>
    <w:rsid w:val="001E0DF6"/>
    <w:rsid w:val="001E0F8D"/>
    <w:rsid w:val="001E1DE4"/>
    <w:rsid w:val="001E225E"/>
    <w:rsid w:val="001E2DB2"/>
    <w:rsid w:val="001E416B"/>
    <w:rsid w:val="001E41F8"/>
    <w:rsid w:val="001E44E6"/>
    <w:rsid w:val="001E58DD"/>
    <w:rsid w:val="001E58E2"/>
    <w:rsid w:val="001E6091"/>
    <w:rsid w:val="001E7281"/>
    <w:rsid w:val="001E7AED"/>
    <w:rsid w:val="001F07D8"/>
    <w:rsid w:val="001F087C"/>
    <w:rsid w:val="001F0B22"/>
    <w:rsid w:val="001F1025"/>
    <w:rsid w:val="001F19C8"/>
    <w:rsid w:val="001F2689"/>
    <w:rsid w:val="001F3467"/>
    <w:rsid w:val="001F355A"/>
    <w:rsid w:val="001F3916"/>
    <w:rsid w:val="001F3BB7"/>
    <w:rsid w:val="001F3D7C"/>
    <w:rsid w:val="001F46B9"/>
    <w:rsid w:val="001F54C5"/>
    <w:rsid w:val="001F5784"/>
    <w:rsid w:val="001F5AB3"/>
    <w:rsid w:val="001F662C"/>
    <w:rsid w:val="001F7074"/>
    <w:rsid w:val="001F7752"/>
    <w:rsid w:val="00200490"/>
    <w:rsid w:val="00200A3B"/>
    <w:rsid w:val="00200DDF"/>
    <w:rsid w:val="00200E3E"/>
    <w:rsid w:val="00200F80"/>
    <w:rsid w:val="002010D6"/>
    <w:rsid w:val="002011B6"/>
    <w:rsid w:val="00201E90"/>
    <w:rsid w:val="00201F3A"/>
    <w:rsid w:val="002027E2"/>
    <w:rsid w:val="002032A8"/>
    <w:rsid w:val="002038CF"/>
    <w:rsid w:val="00203F96"/>
    <w:rsid w:val="002044C2"/>
    <w:rsid w:val="00204A58"/>
    <w:rsid w:val="00204DBB"/>
    <w:rsid w:val="002057C9"/>
    <w:rsid w:val="00205826"/>
    <w:rsid w:val="00205B1B"/>
    <w:rsid w:val="00205F33"/>
    <w:rsid w:val="0020698E"/>
    <w:rsid w:val="002069B2"/>
    <w:rsid w:val="00207780"/>
    <w:rsid w:val="00207E1A"/>
    <w:rsid w:val="00207FA3"/>
    <w:rsid w:val="00210AA7"/>
    <w:rsid w:val="002126E8"/>
    <w:rsid w:val="00213283"/>
    <w:rsid w:val="00213867"/>
    <w:rsid w:val="00213E1E"/>
    <w:rsid w:val="0021495B"/>
    <w:rsid w:val="00214DA8"/>
    <w:rsid w:val="00215423"/>
    <w:rsid w:val="002158FA"/>
    <w:rsid w:val="00215A53"/>
    <w:rsid w:val="00215D1D"/>
    <w:rsid w:val="00215EFE"/>
    <w:rsid w:val="00217079"/>
    <w:rsid w:val="0021735F"/>
    <w:rsid w:val="002175DB"/>
    <w:rsid w:val="00217ABD"/>
    <w:rsid w:val="00217D43"/>
    <w:rsid w:val="00220600"/>
    <w:rsid w:val="00220AD3"/>
    <w:rsid w:val="002217DD"/>
    <w:rsid w:val="00221C6A"/>
    <w:rsid w:val="002224DB"/>
    <w:rsid w:val="00222DBC"/>
    <w:rsid w:val="00223FCB"/>
    <w:rsid w:val="00224D76"/>
    <w:rsid w:val="002252AD"/>
    <w:rsid w:val="002252C3"/>
    <w:rsid w:val="0022544B"/>
    <w:rsid w:val="002257C5"/>
    <w:rsid w:val="00225C54"/>
    <w:rsid w:val="00226A79"/>
    <w:rsid w:val="00227AF2"/>
    <w:rsid w:val="00227E24"/>
    <w:rsid w:val="00227ECB"/>
    <w:rsid w:val="00230765"/>
    <w:rsid w:val="00231886"/>
    <w:rsid w:val="002319E4"/>
    <w:rsid w:val="00232584"/>
    <w:rsid w:val="0023274F"/>
    <w:rsid w:val="00232C7C"/>
    <w:rsid w:val="00233C3D"/>
    <w:rsid w:val="00233C9B"/>
    <w:rsid w:val="002347AD"/>
    <w:rsid w:val="002352DA"/>
    <w:rsid w:val="00235632"/>
    <w:rsid w:val="00235872"/>
    <w:rsid w:val="00235B27"/>
    <w:rsid w:val="00235BBB"/>
    <w:rsid w:val="00235F99"/>
    <w:rsid w:val="0023631C"/>
    <w:rsid w:val="00236361"/>
    <w:rsid w:val="00236C86"/>
    <w:rsid w:val="00236DC4"/>
    <w:rsid w:val="002370E7"/>
    <w:rsid w:val="00237BC1"/>
    <w:rsid w:val="00237F50"/>
    <w:rsid w:val="00240D0C"/>
    <w:rsid w:val="00241559"/>
    <w:rsid w:val="0024169E"/>
    <w:rsid w:val="0024183E"/>
    <w:rsid w:val="00241A9F"/>
    <w:rsid w:val="00241F02"/>
    <w:rsid w:val="00241FDD"/>
    <w:rsid w:val="00242237"/>
    <w:rsid w:val="00242A33"/>
    <w:rsid w:val="002435B3"/>
    <w:rsid w:val="00243A70"/>
    <w:rsid w:val="00243B00"/>
    <w:rsid w:val="00243D41"/>
    <w:rsid w:val="00243ED4"/>
    <w:rsid w:val="00244216"/>
    <w:rsid w:val="002442F3"/>
    <w:rsid w:val="00244335"/>
    <w:rsid w:val="0024478D"/>
    <w:rsid w:val="00244A3D"/>
    <w:rsid w:val="002458EB"/>
    <w:rsid w:val="00245ECE"/>
    <w:rsid w:val="0024622C"/>
    <w:rsid w:val="00247C40"/>
    <w:rsid w:val="00247E48"/>
    <w:rsid w:val="0025003A"/>
    <w:rsid w:val="002500C8"/>
    <w:rsid w:val="00251148"/>
    <w:rsid w:val="00251500"/>
    <w:rsid w:val="0025159A"/>
    <w:rsid w:val="00251949"/>
    <w:rsid w:val="00251CEE"/>
    <w:rsid w:val="002562F8"/>
    <w:rsid w:val="00256F60"/>
    <w:rsid w:val="0025719F"/>
    <w:rsid w:val="00257299"/>
    <w:rsid w:val="00257543"/>
    <w:rsid w:val="002579FA"/>
    <w:rsid w:val="002605C9"/>
    <w:rsid w:val="00260CFB"/>
    <w:rsid w:val="002617E7"/>
    <w:rsid w:val="00261FC8"/>
    <w:rsid w:val="00262C81"/>
    <w:rsid w:val="00262EB6"/>
    <w:rsid w:val="0026301B"/>
    <w:rsid w:val="002632BE"/>
    <w:rsid w:val="002633E3"/>
    <w:rsid w:val="0026379A"/>
    <w:rsid w:val="00264228"/>
    <w:rsid w:val="00264334"/>
    <w:rsid w:val="002645F1"/>
    <w:rsid w:val="0026473E"/>
    <w:rsid w:val="00266214"/>
    <w:rsid w:val="002662A2"/>
    <w:rsid w:val="0026639E"/>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3D7F"/>
    <w:rsid w:val="00274A80"/>
    <w:rsid w:val="0027544A"/>
    <w:rsid w:val="00275549"/>
    <w:rsid w:val="0027586B"/>
    <w:rsid w:val="00276B58"/>
    <w:rsid w:val="0027777C"/>
    <w:rsid w:val="00277F45"/>
    <w:rsid w:val="0028055F"/>
    <w:rsid w:val="002805F5"/>
    <w:rsid w:val="00280751"/>
    <w:rsid w:val="00280EBF"/>
    <w:rsid w:val="002818AE"/>
    <w:rsid w:val="00281A37"/>
    <w:rsid w:val="002827AD"/>
    <w:rsid w:val="0028280A"/>
    <w:rsid w:val="00282A55"/>
    <w:rsid w:val="00283426"/>
    <w:rsid w:val="00283894"/>
    <w:rsid w:val="00283FA1"/>
    <w:rsid w:val="002849E5"/>
    <w:rsid w:val="00284D9D"/>
    <w:rsid w:val="00285265"/>
    <w:rsid w:val="002854D5"/>
    <w:rsid w:val="00286401"/>
    <w:rsid w:val="00286ACD"/>
    <w:rsid w:val="00286D5A"/>
    <w:rsid w:val="00287838"/>
    <w:rsid w:val="00290332"/>
    <w:rsid w:val="002907B5"/>
    <w:rsid w:val="00290B08"/>
    <w:rsid w:val="00291663"/>
    <w:rsid w:val="00291846"/>
    <w:rsid w:val="00291A99"/>
    <w:rsid w:val="00291B4C"/>
    <w:rsid w:val="00291D26"/>
    <w:rsid w:val="002922E6"/>
    <w:rsid w:val="0029273A"/>
    <w:rsid w:val="00292E06"/>
    <w:rsid w:val="00292EB7"/>
    <w:rsid w:val="0029321E"/>
    <w:rsid w:val="002940D2"/>
    <w:rsid w:val="002941E2"/>
    <w:rsid w:val="00296227"/>
    <w:rsid w:val="00296C78"/>
    <w:rsid w:val="00296D79"/>
    <w:rsid w:val="00296D80"/>
    <w:rsid w:val="00296F44"/>
    <w:rsid w:val="00296FD7"/>
    <w:rsid w:val="0029767A"/>
    <w:rsid w:val="0029777D"/>
    <w:rsid w:val="002A055E"/>
    <w:rsid w:val="002A17BC"/>
    <w:rsid w:val="002A1AE5"/>
    <w:rsid w:val="002A1D4E"/>
    <w:rsid w:val="002A1F9B"/>
    <w:rsid w:val="002A2869"/>
    <w:rsid w:val="002A2980"/>
    <w:rsid w:val="002A2A87"/>
    <w:rsid w:val="002A2DB3"/>
    <w:rsid w:val="002A30D2"/>
    <w:rsid w:val="002A379D"/>
    <w:rsid w:val="002A3828"/>
    <w:rsid w:val="002A4F9C"/>
    <w:rsid w:val="002A557A"/>
    <w:rsid w:val="002A5AC2"/>
    <w:rsid w:val="002A5DCC"/>
    <w:rsid w:val="002A5EB0"/>
    <w:rsid w:val="002A66A7"/>
    <w:rsid w:val="002A72BE"/>
    <w:rsid w:val="002A73BA"/>
    <w:rsid w:val="002A7452"/>
    <w:rsid w:val="002A794B"/>
    <w:rsid w:val="002A79BE"/>
    <w:rsid w:val="002A7D92"/>
    <w:rsid w:val="002B007F"/>
    <w:rsid w:val="002B0189"/>
    <w:rsid w:val="002B1373"/>
    <w:rsid w:val="002B1E4E"/>
    <w:rsid w:val="002B21AF"/>
    <w:rsid w:val="002B24D6"/>
    <w:rsid w:val="002B29F4"/>
    <w:rsid w:val="002B2FBC"/>
    <w:rsid w:val="002B33EC"/>
    <w:rsid w:val="002B3CB5"/>
    <w:rsid w:val="002B4256"/>
    <w:rsid w:val="002B46F2"/>
    <w:rsid w:val="002B4D70"/>
    <w:rsid w:val="002B53F6"/>
    <w:rsid w:val="002B56F8"/>
    <w:rsid w:val="002B6849"/>
    <w:rsid w:val="002B6BB1"/>
    <w:rsid w:val="002B6CA5"/>
    <w:rsid w:val="002B73E3"/>
    <w:rsid w:val="002B7E95"/>
    <w:rsid w:val="002C02EA"/>
    <w:rsid w:val="002C056C"/>
    <w:rsid w:val="002C087A"/>
    <w:rsid w:val="002C0960"/>
    <w:rsid w:val="002C1AAA"/>
    <w:rsid w:val="002C2156"/>
    <w:rsid w:val="002C2322"/>
    <w:rsid w:val="002C28C9"/>
    <w:rsid w:val="002C2B77"/>
    <w:rsid w:val="002C358A"/>
    <w:rsid w:val="002C3947"/>
    <w:rsid w:val="002C3A69"/>
    <w:rsid w:val="002C3C7A"/>
    <w:rsid w:val="002C3D9E"/>
    <w:rsid w:val="002C41E6"/>
    <w:rsid w:val="002C476C"/>
    <w:rsid w:val="002C50A5"/>
    <w:rsid w:val="002C5303"/>
    <w:rsid w:val="002C59CB"/>
    <w:rsid w:val="002C7630"/>
    <w:rsid w:val="002C7BD9"/>
    <w:rsid w:val="002C7FD6"/>
    <w:rsid w:val="002D01C7"/>
    <w:rsid w:val="002D0363"/>
    <w:rsid w:val="002D071A"/>
    <w:rsid w:val="002D1321"/>
    <w:rsid w:val="002D1A24"/>
    <w:rsid w:val="002D1A8F"/>
    <w:rsid w:val="002D1F40"/>
    <w:rsid w:val="002D20A8"/>
    <w:rsid w:val="002D20BB"/>
    <w:rsid w:val="002D20E1"/>
    <w:rsid w:val="002D242A"/>
    <w:rsid w:val="002D2908"/>
    <w:rsid w:val="002D2E77"/>
    <w:rsid w:val="002D2ED2"/>
    <w:rsid w:val="002D31F0"/>
    <w:rsid w:val="002D32CB"/>
    <w:rsid w:val="002D34B2"/>
    <w:rsid w:val="002D4322"/>
    <w:rsid w:val="002D6092"/>
    <w:rsid w:val="002D634B"/>
    <w:rsid w:val="002D68E6"/>
    <w:rsid w:val="002D6B89"/>
    <w:rsid w:val="002D6C17"/>
    <w:rsid w:val="002D72B6"/>
    <w:rsid w:val="002D7637"/>
    <w:rsid w:val="002D78C8"/>
    <w:rsid w:val="002D7A26"/>
    <w:rsid w:val="002D7CB9"/>
    <w:rsid w:val="002D7DDA"/>
    <w:rsid w:val="002E07C5"/>
    <w:rsid w:val="002E0DAA"/>
    <w:rsid w:val="002E1738"/>
    <w:rsid w:val="002E17B7"/>
    <w:rsid w:val="002E17F2"/>
    <w:rsid w:val="002E2740"/>
    <w:rsid w:val="002E28C1"/>
    <w:rsid w:val="002E2F2A"/>
    <w:rsid w:val="002E2FD7"/>
    <w:rsid w:val="002E48AE"/>
    <w:rsid w:val="002E49A8"/>
    <w:rsid w:val="002E50C6"/>
    <w:rsid w:val="002E5207"/>
    <w:rsid w:val="002E57B7"/>
    <w:rsid w:val="002E6068"/>
    <w:rsid w:val="002E63F4"/>
    <w:rsid w:val="002E6612"/>
    <w:rsid w:val="002E6E7B"/>
    <w:rsid w:val="002E6EA1"/>
    <w:rsid w:val="002E7691"/>
    <w:rsid w:val="002E791C"/>
    <w:rsid w:val="002E7CAE"/>
    <w:rsid w:val="002F1DE9"/>
    <w:rsid w:val="002F2771"/>
    <w:rsid w:val="002F286B"/>
    <w:rsid w:val="002F37A9"/>
    <w:rsid w:val="002F455D"/>
    <w:rsid w:val="002F4597"/>
    <w:rsid w:val="002F459D"/>
    <w:rsid w:val="002F4940"/>
    <w:rsid w:val="002F49ED"/>
    <w:rsid w:val="002F4EEB"/>
    <w:rsid w:val="002F4F23"/>
    <w:rsid w:val="002F539B"/>
    <w:rsid w:val="002F6AD8"/>
    <w:rsid w:val="002F6C3F"/>
    <w:rsid w:val="002F7102"/>
    <w:rsid w:val="002F7A06"/>
    <w:rsid w:val="00300043"/>
    <w:rsid w:val="0030029C"/>
    <w:rsid w:val="00301779"/>
    <w:rsid w:val="00301CE6"/>
    <w:rsid w:val="00301ECA"/>
    <w:rsid w:val="0030256B"/>
    <w:rsid w:val="003025A6"/>
    <w:rsid w:val="00302762"/>
    <w:rsid w:val="0030304F"/>
    <w:rsid w:val="003031F8"/>
    <w:rsid w:val="00303FA2"/>
    <w:rsid w:val="0030501F"/>
    <w:rsid w:val="00305075"/>
    <w:rsid w:val="003051A7"/>
    <w:rsid w:val="00305473"/>
    <w:rsid w:val="00306F4A"/>
    <w:rsid w:val="003072CB"/>
    <w:rsid w:val="00307BA1"/>
    <w:rsid w:val="00311702"/>
    <w:rsid w:val="00311E82"/>
    <w:rsid w:val="00312190"/>
    <w:rsid w:val="00312922"/>
    <w:rsid w:val="003131C0"/>
    <w:rsid w:val="00313EC2"/>
    <w:rsid w:val="00313FD6"/>
    <w:rsid w:val="003140AE"/>
    <w:rsid w:val="003143BD"/>
    <w:rsid w:val="00314929"/>
    <w:rsid w:val="003149BC"/>
    <w:rsid w:val="00314B3F"/>
    <w:rsid w:val="00314C47"/>
    <w:rsid w:val="0031571D"/>
    <w:rsid w:val="00315787"/>
    <w:rsid w:val="003158EF"/>
    <w:rsid w:val="00315C6E"/>
    <w:rsid w:val="0031632F"/>
    <w:rsid w:val="00317197"/>
    <w:rsid w:val="003177EB"/>
    <w:rsid w:val="00317EEF"/>
    <w:rsid w:val="003203ED"/>
    <w:rsid w:val="003208B0"/>
    <w:rsid w:val="00320E22"/>
    <w:rsid w:val="003212DB"/>
    <w:rsid w:val="00322154"/>
    <w:rsid w:val="003222AB"/>
    <w:rsid w:val="003226E1"/>
    <w:rsid w:val="00322C9F"/>
    <w:rsid w:val="00323ACB"/>
    <w:rsid w:val="00323EED"/>
    <w:rsid w:val="00324402"/>
    <w:rsid w:val="0032487D"/>
    <w:rsid w:val="003249E4"/>
    <w:rsid w:val="00324D23"/>
    <w:rsid w:val="0032515B"/>
    <w:rsid w:val="003251B5"/>
    <w:rsid w:val="00325905"/>
    <w:rsid w:val="00326396"/>
    <w:rsid w:val="00326732"/>
    <w:rsid w:val="00326A64"/>
    <w:rsid w:val="003278AB"/>
    <w:rsid w:val="00327E7F"/>
    <w:rsid w:val="00330006"/>
    <w:rsid w:val="00330033"/>
    <w:rsid w:val="00330734"/>
    <w:rsid w:val="00331751"/>
    <w:rsid w:val="00331DE4"/>
    <w:rsid w:val="00331EEB"/>
    <w:rsid w:val="00332F05"/>
    <w:rsid w:val="00333736"/>
    <w:rsid w:val="00333A84"/>
    <w:rsid w:val="00334579"/>
    <w:rsid w:val="0033505E"/>
    <w:rsid w:val="00335858"/>
    <w:rsid w:val="00335C1B"/>
    <w:rsid w:val="00335F39"/>
    <w:rsid w:val="00336BDA"/>
    <w:rsid w:val="00336FF4"/>
    <w:rsid w:val="00337194"/>
    <w:rsid w:val="003372DA"/>
    <w:rsid w:val="00337322"/>
    <w:rsid w:val="00340555"/>
    <w:rsid w:val="00340A45"/>
    <w:rsid w:val="00340A56"/>
    <w:rsid w:val="00342BD7"/>
    <w:rsid w:val="00342E02"/>
    <w:rsid w:val="00343459"/>
    <w:rsid w:val="00343A07"/>
    <w:rsid w:val="0034458D"/>
    <w:rsid w:val="00344FB1"/>
    <w:rsid w:val="00345569"/>
    <w:rsid w:val="00345864"/>
    <w:rsid w:val="00345924"/>
    <w:rsid w:val="00346574"/>
    <w:rsid w:val="0034690A"/>
    <w:rsid w:val="00346AA0"/>
    <w:rsid w:val="00346DB5"/>
    <w:rsid w:val="003473CE"/>
    <w:rsid w:val="00347650"/>
    <w:rsid w:val="003477B1"/>
    <w:rsid w:val="0034788B"/>
    <w:rsid w:val="00350345"/>
    <w:rsid w:val="0035159F"/>
    <w:rsid w:val="00351782"/>
    <w:rsid w:val="00351FA7"/>
    <w:rsid w:val="00352481"/>
    <w:rsid w:val="00352D87"/>
    <w:rsid w:val="0035342D"/>
    <w:rsid w:val="00353A0A"/>
    <w:rsid w:val="00353FD1"/>
    <w:rsid w:val="003545E2"/>
    <w:rsid w:val="0035482C"/>
    <w:rsid w:val="0035499D"/>
    <w:rsid w:val="003565AE"/>
    <w:rsid w:val="00356FE7"/>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B20"/>
    <w:rsid w:val="0036688E"/>
    <w:rsid w:val="003670C4"/>
    <w:rsid w:val="00370E47"/>
    <w:rsid w:val="00372570"/>
    <w:rsid w:val="0037322F"/>
    <w:rsid w:val="0037323B"/>
    <w:rsid w:val="00374042"/>
    <w:rsid w:val="003742AC"/>
    <w:rsid w:val="00376A1A"/>
    <w:rsid w:val="00376B9D"/>
    <w:rsid w:val="00377CE1"/>
    <w:rsid w:val="003807F1"/>
    <w:rsid w:val="003815BB"/>
    <w:rsid w:val="0038168D"/>
    <w:rsid w:val="00382541"/>
    <w:rsid w:val="00383C13"/>
    <w:rsid w:val="00384372"/>
    <w:rsid w:val="00384F45"/>
    <w:rsid w:val="0038531D"/>
    <w:rsid w:val="00385BF0"/>
    <w:rsid w:val="003862AB"/>
    <w:rsid w:val="003865FE"/>
    <w:rsid w:val="00386C8D"/>
    <w:rsid w:val="003874BE"/>
    <w:rsid w:val="003879D8"/>
    <w:rsid w:val="00387E49"/>
    <w:rsid w:val="00390359"/>
    <w:rsid w:val="003915EB"/>
    <w:rsid w:val="00392E94"/>
    <w:rsid w:val="0039320A"/>
    <w:rsid w:val="0039386A"/>
    <w:rsid w:val="003939FF"/>
    <w:rsid w:val="00393BCB"/>
    <w:rsid w:val="00394001"/>
    <w:rsid w:val="0039438D"/>
    <w:rsid w:val="00395165"/>
    <w:rsid w:val="00395FA6"/>
    <w:rsid w:val="00396685"/>
    <w:rsid w:val="00397649"/>
    <w:rsid w:val="00397D57"/>
    <w:rsid w:val="003A0892"/>
    <w:rsid w:val="003A0E60"/>
    <w:rsid w:val="003A0F25"/>
    <w:rsid w:val="003A0F64"/>
    <w:rsid w:val="003A11A3"/>
    <w:rsid w:val="003A12E6"/>
    <w:rsid w:val="003A16A6"/>
    <w:rsid w:val="003A1725"/>
    <w:rsid w:val="003A1C15"/>
    <w:rsid w:val="003A2223"/>
    <w:rsid w:val="003A2638"/>
    <w:rsid w:val="003A2692"/>
    <w:rsid w:val="003A2A0F"/>
    <w:rsid w:val="003A2FCF"/>
    <w:rsid w:val="003A341E"/>
    <w:rsid w:val="003A4100"/>
    <w:rsid w:val="003A449F"/>
    <w:rsid w:val="003A45A1"/>
    <w:rsid w:val="003A52F5"/>
    <w:rsid w:val="003A5B0A"/>
    <w:rsid w:val="003A6268"/>
    <w:rsid w:val="003A6BAC"/>
    <w:rsid w:val="003A6CFA"/>
    <w:rsid w:val="003A71F2"/>
    <w:rsid w:val="003A723A"/>
    <w:rsid w:val="003A7AEF"/>
    <w:rsid w:val="003A7EF3"/>
    <w:rsid w:val="003B0554"/>
    <w:rsid w:val="003B05BE"/>
    <w:rsid w:val="003B13B9"/>
    <w:rsid w:val="003B159C"/>
    <w:rsid w:val="003B1A36"/>
    <w:rsid w:val="003B26A4"/>
    <w:rsid w:val="003B2A14"/>
    <w:rsid w:val="003B33E5"/>
    <w:rsid w:val="003B369F"/>
    <w:rsid w:val="003B36A3"/>
    <w:rsid w:val="003B3C0F"/>
    <w:rsid w:val="003B3EE9"/>
    <w:rsid w:val="003B4985"/>
    <w:rsid w:val="003B5024"/>
    <w:rsid w:val="003B573B"/>
    <w:rsid w:val="003B5A27"/>
    <w:rsid w:val="003B5BE1"/>
    <w:rsid w:val="003B5C09"/>
    <w:rsid w:val="003B5F50"/>
    <w:rsid w:val="003B6B18"/>
    <w:rsid w:val="003B6B43"/>
    <w:rsid w:val="003B70E0"/>
    <w:rsid w:val="003B7700"/>
    <w:rsid w:val="003B785E"/>
    <w:rsid w:val="003B7FE5"/>
    <w:rsid w:val="003C11C8"/>
    <w:rsid w:val="003C1905"/>
    <w:rsid w:val="003C221A"/>
    <w:rsid w:val="003C2516"/>
    <w:rsid w:val="003C2702"/>
    <w:rsid w:val="003C28EC"/>
    <w:rsid w:val="003C2D10"/>
    <w:rsid w:val="003C3F5D"/>
    <w:rsid w:val="003C4112"/>
    <w:rsid w:val="003C471D"/>
    <w:rsid w:val="003C4D0A"/>
    <w:rsid w:val="003C4F5D"/>
    <w:rsid w:val="003C585B"/>
    <w:rsid w:val="003C5D55"/>
    <w:rsid w:val="003C6EF3"/>
    <w:rsid w:val="003C76CC"/>
    <w:rsid w:val="003C7806"/>
    <w:rsid w:val="003C78B5"/>
    <w:rsid w:val="003C7F8E"/>
    <w:rsid w:val="003D0607"/>
    <w:rsid w:val="003D0723"/>
    <w:rsid w:val="003D0FDB"/>
    <w:rsid w:val="003D109F"/>
    <w:rsid w:val="003D2478"/>
    <w:rsid w:val="003D2DDC"/>
    <w:rsid w:val="003D2FC4"/>
    <w:rsid w:val="003D3279"/>
    <w:rsid w:val="003D33CE"/>
    <w:rsid w:val="003D3866"/>
    <w:rsid w:val="003D3C45"/>
    <w:rsid w:val="003D40F8"/>
    <w:rsid w:val="003D47C1"/>
    <w:rsid w:val="003D4ECB"/>
    <w:rsid w:val="003D5B1F"/>
    <w:rsid w:val="003D6FCA"/>
    <w:rsid w:val="003D761D"/>
    <w:rsid w:val="003D7625"/>
    <w:rsid w:val="003D7A25"/>
    <w:rsid w:val="003D7DE0"/>
    <w:rsid w:val="003E04AC"/>
    <w:rsid w:val="003E05BD"/>
    <w:rsid w:val="003E072B"/>
    <w:rsid w:val="003E0D27"/>
    <w:rsid w:val="003E0F30"/>
    <w:rsid w:val="003E1382"/>
    <w:rsid w:val="003E1481"/>
    <w:rsid w:val="003E149B"/>
    <w:rsid w:val="003E15FA"/>
    <w:rsid w:val="003E181F"/>
    <w:rsid w:val="003E1D4C"/>
    <w:rsid w:val="003E2653"/>
    <w:rsid w:val="003E33C2"/>
    <w:rsid w:val="003E3A14"/>
    <w:rsid w:val="003E3C4D"/>
    <w:rsid w:val="003E434B"/>
    <w:rsid w:val="003E50A3"/>
    <w:rsid w:val="003E55E4"/>
    <w:rsid w:val="003E5D31"/>
    <w:rsid w:val="003E6208"/>
    <w:rsid w:val="003E64C4"/>
    <w:rsid w:val="003E64FD"/>
    <w:rsid w:val="003E6BC9"/>
    <w:rsid w:val="003E74E3"/>
    <w:rsid w:val="003F011C"/>
    <w:rsid w:val="003F0137"/>
    <w:rsid w:val="003F01B0"/>
    <w:rsid w:val="003F0256"/>
    <w:rsid w:val="003F05C7"/>
    <w:rsid w:val="003F0E82"/>
    <w:rsid w:val="003F1514"/>
    <w:rsid w:val="003F163A"/>
    <w:rsid w:val="003F178D"/>
    <w:rsid w:val="003F190C"/>
    <w:rsid w:val="003F1C94"/>
    <w:rsid w:val="003F1CDA"/>
    <w:rsid w:val="003F1F0B"/>
    <w:rsid w:val="003F2497"/>
    <w:rsid w:val="003F2CD4"/>
    <w:rsid w:val="003F3103"/>
    <w:rsid w:val="003F4198"/>
    <w:rsid w:val="003F41C6"/>
    <w:rsid w:val="003F43C0"/>
    <w:rsid w:val="003F5328"/>
    <w:rsid w:val="003F60C0"/>
    <w:rsid w:val="003F633D"/>
    <w:rsid w:val="003F68A6"/>
    <w:rsid w:val="003F6BBE"/>
    <w:rsid w:val="003F6E7D"/>
    <w:rsid w:val="003F6ED2"/>
    <w:rsid w:val="004000E8"/>
    <w:rsid w:val="0040123A"/>
    <w:rsid w:val="00401247"/>
    <w:rsid w:val="004018BA"/>
    <w:rsid w:val="00402735"/>
    <w:rsid w:val="0040288A"/>
    <w:rsid w:val="00402E2B"/>
    <w:rsid w:val="004030A7"/>
    <w:rsid w:val="00403513"/>
    <w:rsid w:val="00403926"/>
    <w:rsid w:val="00403DBB"/>
    <w:rsid w:val="004045F0"/>
    <w:rsid w:val="00404B4B"/>
    <w:rsid w:val="0040512B"/>
    <w:rsid w:val="0040558C"/>
    <w:rsid w:val="00405B45"/>
    <w:rsid w:val="00405CA5"/>
    <w:rsid w:val="00405E96"/>
    <w:rsid w:val="00406278"/>
    <w:rsid w:val="004063E9"/>
    <w:rsid w:val="004069EF"/>
    <w:rsid w:val="00406E22"/>
    <w:rsid w:val="00406F56"/>
    <w:rsid w:val="00407297"/>
    <w:rsid w:val="0040743C"/>
    <w:rsid w:val="00407452"/>
    <w:rsid w:val="00407460"/>
    <w:rsid w:val="00407463"/>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42B5"/>
    <w:rsid w:val="00415415"/>
    <w:rsid w:val="0041547C"/>
    <w:rsid w:val="0041576E"/>
    <w:rsid w:val="00415856"/>
    <w:rsid w:val="00415AE2"/>
    <w:rsid w:val="00415CFE"/>
    <w:rsid w:val="00416D56"/>
    <w:rsid w:val="00416EC8"/>
    <w:rsid w:val="00417E76"/>
    <w:rsid w:val="004207EE"/>
    <w:rsid w:val="00421105"/>
    <w:rsid w:val="00421595"/>
    <w:rsid w:val="004227AB"/>
    <w:rsid w:val="00422979"/>
    <w:rsid w:val="00422C2F"/>
    <w:rsid w:val="00422E82"/>
    <w:rsid w:val="00422F98"/>
    <w:rsid w:val="00424028"/>
    <w:rsid w:val="004242F4"/>
    <w:rsid w:val="0042484F"/>
    <w:rsid w:val="00424C2D"/>
    <w:rsid w:val="0042524E"/>
    <w:rsid w:val="0042546A"/>
    <w:rsid w:val="00425743"/>
    <w:rsid w:val="00425750"/>
    <w:rsid w:val="00426762"/>
    <w:rsid w:val="00427248"/>
    <w:rsid w:val="004272E5"/>
    <w:rsid w:val="004311DF"/>
    <w:rsid w:val="0043149A"/>
    <w:rsid w:val="00431986"/>
    <w:rsid w:val="00431CCC"/>
    <w:rsid w:val="00431DFF"/>
    <w:rsid w:val="00431F63"/>
    <w:rsid w:val="004323FC"/>
    <w:rsid w:val="0043269E"/>
    <w:rsid w:val="004336FF"/>
    <w:rsid w:val="00433FC2"/>
    <w:rsid w:val="0043585E"/>
    <w:rsid w:val="00435AA5"/>
    <w:rsid w:val="00435AF5"/>
    <w:rsid w:val="00435C6C"/>
    <w:rsid w:val="00435F36"/>
    <w:rsid w:val="00437447"/>
    <w:rsid w:val="0043752A"/>
    <w:rsid w:val="00437C66"/>
    <w:rsid w:val="00437DE7"/>
    <w:rsid w:val="00440310"/>
    <w:rsid w:val="004408BD"/>
    <w:rsid w:val="00440B5F"/>
    <w:rsid w:val="00440DC2"/>
    <w:rsid w:val="00440F6E"/>
    <w:rsid w:val="00441475"/>
    <w:rsid w:val="004414EF"/>
    <w:rsid w:val="004418DE"/>
    <w:rsid w:val="00441A92"/>
    <w:rsid w:val="004424BC"/>
    <w:rsid w:val="00442B6F"/>
    <w:rsid w:val="004436AB"/>
    <w:rsid w:val="0044378F"/>
    <w:rsid w:val="00444431"/>
    <w:rsid w:val="004444D7"/>
    <w:rsid w:val="00444792"/>
    <w:rsid w:val="00444F56"/>
    <w:rsid w:val="00445DCE"/>
    <w:rsid w:val="00445FA0"/>
    <w:rsid w:val="00446488"/>
    <w:rsid w:val="00446749"/>
    <w:rsid w:val="00447607"/>
    <w:rsid w:val="00447626"/>
    <w:rsid w:val="004501D2"/>
    <w:rsid w:val="00450B74"/>
    <w:rsid w:val="00450DD4"/>
    <w:rsid w:val="004517AA"/>
    <w:rsid w:val="00451C61"/>
    <w:rsid w:val="00452CAC"/>
    <w:rsid w:val="00453155"/>
    <w:rsid w:val="004536BD"/>
    <w:rsid w:val="004539B6"/>
    <w:rsid w:val="004539C6"/>
    <w:rsid w:val="00453C0A"/>
    <w:rsid w:val="004541F9"/>
    <w:rsid w:val="004544A0"/>
    <w:rsid w:val="00454DB3"/>
    <w:rsid w:val="0045578A"/>
    <w:rsid w:val="004561E0"/>
    <w:rsid w:val="00456A48"/>
    <w:rsid w:val="00456FC4"/>
    <w:rsid w:val="00457565"/>
    <w:rsid w:val="00457B71"/>
    <w:rsid w:val="00457CD9"/>
    <w:rsid w:val="00460601"/>
    <w:rsid w:val="00460721"/>
    <w:rsid w:val="00460746"/>
    <w:rsid w:val="004614A2"/>
    <w:rsid w:val="004619F9"/>
    <w:rsid w:val="00461C75"/>
    <w:rsid w:val="00461D14"/>
    <w:rsid w:val="00461EBB"/>
    <w:rsid w:val="004621E8"/>
    <w:rsid w:val="00462C81"/>
    <w:rsid w:val="00462FA5"/>
    <w:rsid w:val="0046430E"/>
    <w:rsid w:val="00464E0F"/>
    <w:rsid w:val="00465F3A"/>
    <w:rsid w:val="0046694A"/>
    <w:rsid w:val="004669E2"/>
    <w:rsid w:val="00466EBC"/>
    <w:rsid w:val="00467392"/>
    <w:rsid w:val="00467930"/>
    <w:rsid w:val="00467B8C"/>
    <w:rsid w:val="00467DF2"/>
    <w:rsid w:val="00470C31"/>
    <w:rsid w:val="00470C4F"/>
    <w:rsid w:val="004719C3"/>
    <w:rsid w:val="00472D9C"/>
    <w:rsid w:val="004734D0"/>
    <w:rsid w:val="004737F0"/>
    <w:rsid w:val="00473C75"/>
    <w:rsid w:val="00474096"/>
    <w:rsid w:val="004744C0"/>
    <w:rsid w:val="0047525B"/>
    <w:rsid w:val="0047556B"/>
    <w:rsid w:val="00475C6C"/>
    <w:rsid w:val="0047631A"/>
    <w:rsid w:val="004765C1"/>
    <w:rsid w:val="00476929"/>
    <w:rsid w:val="00477768"/>
    <w:rsid w:val="004778F1"/>
    <w:rsid w:val="004808FD"/>
    <w:rsid w:val="004821D5"/>
    <w:rsid w:val="004824B0"/>
    <w:rsid w:val="00482AAD"/>
    <w:rsid w:val="00483127"/>
    <w:rsid w:val="00483897"/>
    <w:rsid w:val="004843B1"/>
    <w:rsid w:val="00484649"/>
    <w:rsid w:val="00484CFB"/>
    <w:rsid w:val="004853CE"/>
    <w:rsid w:val="00485A5D"/>
    <w:rsid w:val="0048618E"/>
    <w:rsid w:val="004865E7"/>
    <w:rsid w:val="00487488"/>
    <w:rsid w:val="004877E2"/>
    <w:rsid w:val="00490604"/>
    <w:rsid w:val="00492BC5"/>
    <w:rsid w:val="004933EA"/>
    <w:rsid w:val="00493425"/>
    <w:rsid w:val="00493DBE"/>
    <w:rsid w:val="00494B81"/>
    <w:rsid w:val="00495533"/>
    <w:rsid w:val="0049566A"/>
    <w:rsid w:val="004957EC"/>
    <w:rsid w:val="004963CD"/>
    <w:rsid w:val="00496462"/>
    <w:rsid w:val="004964F1"/>
    <w:rsid w:val="00496624"/>
    <w:rsid w:val="004969FC"/>
    <w:rsid w:val="00496A07"/>
    <w:rsid w:val="00496F4E"/>
    <w:rsid w:val="00497006"/>
    <w:rsid w:val="004973BE"/>
    <w:rsid w:val="00497A74"/>
    <w:rsid w:val="00497DA1"/>
    <w:rsid w:val="004A056F"/>
    <w:rsid w:val="004A155E"/>
    <w:rsid w:val="004A16BC"/>
    <w:rsid w:val="004A170E"/>
    <w:rsid w:val="004A1C33"/>
    <w:rsid w:val="004A2164"/>
    <w:rsid w:val="004A23A2"/>
    <w:rsid w:val="004A2416"/>
    <w:rsid w:val="004A2B94"/>
    <w:rsid w:val="004A3092"/>
    <w:rsid w:val="004A311F"/>
    <w:rsid w:val="004A4CED"/>
    <w:rsid w:val="004A515A"/>
    <w:rsid w:val="004A52A2"/>
    <w:rsid w:val="004A54CD"/>
    <w:rsid w:val="004A5658"/>
    <w:rsid w:val="004A5990"/>
    <w:rsid w:val="004A6952"/>
    <w:rsid w:val="004A6B9D"/>
    <w:rsid w:val="004A7159"/>
    <w:rsid w:val="004A7668"/>
    <w:rsid w:val="004A7694"/>
    <w:rsid w:val="004A7AD8"/>
    <w:rsid w:val="004A7E6E"/>
    <w:rsid w:val="004B014E"/>
    <w:rsid w:val="004B01DD"/>
    <w:rsid w:val="004B0618"/>
    <w:rsid w:val="004B0AB7"/>
    <w:rsid w:val="004B20F8"/>
    <w:rsid w:val="004B31AC"/>
    <w:rsid w:val="004B3EF9"/>
    <w:rsid w:val="004B3F31"/>
    <w:rsid w:val="004B409C"/>
    <w:rsid w:val="004B6327"/>
    <w:rsid w:val="004B70A5"/>
    <w:rsid w:val="004B7821"/>
    <w:rsid w:val="004B7BFD"/>
    <w:rsid w:val="004B7C0C"/>
    <w:rsid w:val="004B7CA2"/>
    <w:rsid w:val="004B7DF8"/>
    <w:rsid w:val="004C04EF"/>
    <w:rsid w:val="004C0D60"/>
    <w:rsid w:val="004C1682"/>
    <w:rsid w:val="004C1ABA"/>
    <w:rsid w:val="004C257E"/>
    <w:rsid w:val="004C28A2"/>
    <w:rsid w:val="004C2E9F"/>
    <w:rsid w:val="004C2FCC"/>
    <w:rsid w:val="004C315B"/>
    <w:rsid w:val="004C3898"/>
    <w:rsid w:val="004C41EF"/>
    <w:rsid w:val="004C4904"/>
    <w:rsid w:val="004C4DA7"/>
    <w:rsid w:val="004C4E6A"/>
    <w:rsid w:val="004C4FA9"/>
    <w:rsid w:val="004C5898"/>
    <w:rsid w:val="004C5E66"/>
    <w:rsid w:val="004C6355"/>
    <w:rsid w:val="004C6A37"/>
    <w:rsid w:val="004C6CB7"/>
    <w:rsid w:val="004C6DE7"/>
    <w:rsid w:val="004C73F2"/>
    <w:rsid w:val="004C755C"/>
    <w:rsid w:val="004C78D6"/>
    <w:rsid w:val="004D0121"/>
    <w:rsid w:val="004D021E"/>
    <w:rsid w:val="004D0F07"/>
    <w:rsid w:val="004D146D"/>
    <w:rsid w:val="004D1A6A"/>
    <w:rsid w:val="004D1C02"/>
    <w:rsid w:val="004D2003"/>
    <w:rsid w:val="004D2209"/>
    <w:rsid w:val="004D2A1E"/>
    <w:rsid w:val="004D2AF0"/>
    <w:rsid w:val="004D2C5B"/>
    <w:rsid w:val="004D2CD3"/>
    <w:rsid w:val="004D3045"/>
    <w:rsid w:val="004D36B1"/>
    <w:rsid w:val="004D3D8D"/>
    <w:rsid w:val="004D4FB4"/>
    <w:rsid w:val="004D57E5"/>
    <w:rsid w:val="004D7B79"/>
    <w:rsid w:val="004D7EBD"/>
    <w:rsid w:val="004E0434"/>
    <w:rsid w:val="004E08E1"/>
    <w:rsid w:val="004E0903"/>
    <w:rsid w:val="004E0ABB"/>
    <w:rsid w:val="004E162A"/>
    <w:rsid w:val="004E1675"/>
    <w:rsid w:val="004E24CC"/>
    <w:rsid w:val="004E25F2"/>
    <w:rsid w:val="004E2680"/>
    <w:rsid w:val="004E28F9"/>
    <w:rsid w:val="004E2EB8"/>
    <w:rsid w:val="004E2F82"/>
    <w:rsid w:val="004E34E7"/>
    <w:rsid w:val="004E3AC0"/>
    <w:rsid w:val="004E462E"/>
    <w:rsid w:val="004E4678"/>
    <w:rsid w:val="004E4AC9"/>
    <w:rsid w:val="004E4F2C"/>
    <w:rsid w:val="004E56DC"/>
    <w:rsid w:val="004E5746"/>
    <w:rsid w:val="004E6C24"/>
    <w:rsid w:val="004E6D4B"/>
    <w:rsid w:val="004E734C"/>
    <w:rsid w:val="004E7438"/>
    <w:rsid w:val="004E76F4"/>
    <w:rsid w:val="004F0501"/>
    <w:rsid w:val="004F064E"/>
    <w:rsid w:val="004F0B4E"/>
    <w:rsid w:val="004F0B6C"/>
    <w:rsid w:val="004F124A"/>
    <w:rsid w:val="004F2078"/>
    <w:rsid w:val="004F210A"/>
    <w:rsid w:val="004F2507"/>
    <w:rsid w:val="004F2AE0"/>
    <w:rsid w:val="004F4200"/>
    <w:rsid w:val="004F4931"/>
    <w:rsid w:val="004F4AFB"/>
    <w:rsid w:val="004F4DA3"/>
    <w:rsid w:val="004F5AC4"/>
    <w:rsid w:val="004F631E"/>
    <w:rsid w:val="004F6B70"/>
    <w:rsid w:val="004F7717"/>
    <w:rsid w:val="005003DC"/>
    <w:rsid w:val="00500988"/>
    <w:rsid w:val="00501082"/>
    <w:rsid w:val="005016E6"/>
    <w:rsid w:val="005017C9"/>
    <w:rsid w:val="0050221A"/>
    <w:rsid w:val="00502276"/>
    <w:rsid w:val="00502A17"/>
    <w:rsid w:val="00502F34"/>
    <w:rsid w:val="00503108"/>
    <w:rsid w:val="005035B7"/>
    <w:rsid w:val="0050379C"/>
    <w:rsid w:val="00504146"/>
    <w:rsid w:val="005049A5"/>
    <w:rsid w:val="00505423"/>
    <w:rsid w:val="00505CEC"/>
    <w:rsid w:val="0050628F"/>
    <w:rsid w:val="00506557"/>
    <w:rsid w:val="00506678"/>
    <w:rsid w:val="00506764"/>
    <w:rsid w:val="0050677A"/>
    <w:rsid w:val="005074E5"/>
    <w:rsid w:val="00507671"/>
    <w:rsid w:val="0051067E"/>
    <w:rsid w:val="005108D8"/>
    <w:rsid w:val="00511164"/>
    <w:rsid w:val="005116F9"/>
    <w:rsid w:val="0051199C"/>
    <w:rsid w:val="00511BFF"/>
    <w:rsid w:val="005121FE"/>
    <w:rsid w:val="00512571"/>
    <w:rsid w:val="00512E79"/>
    <w:rsid w:val="00512FD4"/>
    <w:rsid w:val="00513242"/>
    <w:rsid w:val="005133FA"/>
    <w:rsid w:val="00513499"/>
    <w:rsid w:val="0051381B"/>
    <w:rsid w:val="00513CBF"/>
    <w:rsid w:val="0051475C"/>
    <w:rsid w:val="00514B37"/>
    <w:rsid w:val="00514CF8"/>
    <w:rsid w:val="005150B5"/>
    <w:rsid w:val="005153A7"/>
    <w:rsid w:val="0051595C"/>
    <w:rsid w:val="0051690D"/>
    <w:rsid w:val="00517725"/>
    <w:rsid w:val="005178BC"/>
    <w:rsid w:val="00520327"/>
    <w:rsid w:val="005207D9"/>
    <w:rsid w:val="005215D8"/>
    <w:rsid w:val="00521780"/>
    <w:rsid w:val="005219CF"/>
    <w:rsid w:val="00521CAF"/>
    <w:rsid w:val="00521DA4"/>
    <w:rsid w:val="00521EBB"/>
    <w:rsid w:val="00522248"/>
    <w:rsid w:val="00523D37"/>
    <w:rsid w:val="00524AC7"/>
    <w:rsid w:val="00525315"/>
    <w:rsid w:val="00525439"/>
    <w:rsid w:val="00526167"/>
    <w:rsid w:val="0052616B"/>
    <w:rsid w:val="00526186"/>
    <w:rsid w:val="00526998"/>
    <w:rsid w:val="00526B0A"/>
    <w:rsid w:val="00527463"/>
    <w:rsid w:val="00530B39"/>
    <w:rsid w:val="00530B45"/>
    <w:rsid w:val="00531215"/>
    <w:rsid w:val="005314A7"/>
    <w:rsid w:val="005317B9"/>
    <w:rsid w:val="00532096"/>
    <w:rsid w:val="005321B3"/>
    <w:rsid w:val="00532A84"/>
    <w:rsid w:val="005338D0"/>
    <w:rsid w:val="00533977"/>
    <w:rsid w:val="00533EA0"/>
    <w:rsid w:val="00534168"/>
    <w:rsid w:val="00534459"/>
    <w:rsid w:val="00534B59"/>
    <w:rsid w:val="005350B8"/>
    <w:rsid w:val="005355E8"/>
    <w:rsid w:val="00535A40"/>
    <w:rsid w:val="00536759"/>
    <w:rsid w:val="00536D1C"/>
    <w:rsid w:val="00536FF6"/>
    <w:rsid w:val="00537AA2"/>
    <w:rsid w:val="00537C62"/>
    <w:rsid w:val="00540091"/>
    <w:rsid w:val="0054018A"/>
    <w:rsid w:val="005402C0"/>
    <w:rsid w:val="00540AAE"/>
    <w:rsid w:val="00541020"/>
    <w:rsid w:val="005418FC"/>
    <w:rsid w:val="00542206"/>
    <w:rsid w:val="0054238A"/>
    <w:rsid w:val="00542897"/>
    <w:rsid w:val="00542899"/>
    <w:rsid w:val="0054302C"/>
    <w:rsid w:val="005432AB"/>
    <w:rsid w:val="0054355D"/>
    <w:rsid w:val="00543AF9"/>
    <w:rsid w:val="00544824"/>
    <w:rsid w:val="00545492"/>
    <w:rsid w:val="00545CBE"/>
    <w:rsid w:val="005465AF"/>
    <w:rsid w:val="00546970"/>
    <w:rsid w:val="00546D31"/>
    <w:rsid w:val="00546D5A"/>
    <w:rsid w:val="00547A1B"/>
    <w:rsid w:val="00550001"/>
    <w:rsid w:val="005500B0"/>
    <w:rsid w:val="00550814"/>
    <w:rsid w:val="00551007"/>
    <w:rsid w:val="005517F4"/>
    <w:rsid w:val="005518BD"/>
    <w:rsid w:val="00551FE1"/>
    <w:rsid w:val="005528EC"/>
    <w:rsid w:val="00553221"/>
    <w:rsid w:val="00553377"/>
    <w:rsid w:val="0055357E"/>
    <w:rsid w:val="00553598"/>
    <w:rsid w:val="00553DD6"/>
    <w:rsid w:val="00553E17"/>
    <w:rsid w:val="005545B8"/>
    <w:rsid w:val="00554E19"/>
    <w:rsid w:val="00556504"/>
    <w:rsid w:val="00556E14"/>
    <w:rsid w:val="00560280"/>
    <w:rsid w:val="00560304"/>
    <w:rsid w:val="00561197"/>
    <w:rsid w:val="0056121F"/>
    <w:rsid w:val="00561658"/>
    <w:rsid w:val="005617CF"/>
    <w:rsid w:val="00561C13"/>
    <w:rsid w:val="00561D43"/>
    <w:rsid w:val="005623B3"/>
    <w:rsid w:val="00562990"/>
    <w:rsid w:val="00562A71"/>
    <w:rsid w:val="00562EB7"/>
    <w:rsid w:val="00563697"/>
    <w:rsid w:val="00563AEB"/>
    <w:rsid w:val="0056579B"/>
    <w:rsid w:val="00565E6C"/>
    <w:rsid w:val="005671AD"/>
    <w:rsid w:val="00567664"/>
    <w:rsid w:val="00567F21"/>
    <w:rsid w:val="00567F55"/>
    <w:rsid w:val="00570BE9"/>
    <w:rsid w:val="00570DAC"/>
    <w:rsid w:val="00570F73"/>
    <w:rsid w:val="00570F99"/>
    <w:rsid w:val="005713F2"/>
    <w:rsid w:val="00572505"/>
    <w:rsid w:val="00572656"/>
    <w:rsid w:val="0057277C"/>
    <w:rsid w:val="00574366"/>
    <w:rsid w:val="00574915"/>
    <w:rsid w:val="0057509A"/>
    <w:rsid w:val="00575394"/>
    <w:rsid w:val="0057575D"/>
    <w:rsid w:val="00575B0F"/>
    <w:rsid w:val="00576006"/>
    <w:rsid w:val="00576627"/>
    <w:rsid w:val="005767E5"/>
    <w:rsid w:val="00577BB1"/>
    <w:rsid w:val="0058169C"/>
    <w:rsid w:val="0058172D"/>
    <w:rsid w:val="00581D0B"/>
    <w:rsid w:val="00581F3E"/>
    <w:rsid w:val="00582809"/>
    <w:rsid w:val="00582E08"/>
    <w:rsid w:val="00582E97"/>
    <w:rsid w:val="00583C22"/>
    <w:rsid w:val="00583C62"/>
    <w:rsid w:val="00584529"/>
    <w:rsid w:val="00584668"/>
    <w:rsid w:val="00585462"/>
    <w:rsid w:val="00586FEE"/>
    <w:rsid w:val="00587018"/>
    <w:rsid w:val="0058798C"/>
    <w:rsid w:val="005900FA"/>
    <w:rsid w:val="005901CF"/>
    <w:rsid w:val="0059035F"/>
    <w:rsid w:val="00590855"/>
    <w:rsid w:val="00591ADF"/>
    <w:rsid w:val="00591C56"/>
    <w:rsid w:val="00591D01"/>
    <w:rsid w:val="00591F85"/>
    <w:rsid w:val="0059346F"/>
    <w:rsid w:val="005935A4"/>
    <w:rsid w:val="005946D9"/>
    <w:rsid w:val="0059484A"/>
    <w:rsid w:val="005948C2"/>
    <w:rsid w:val="0059525F"/>
    <w:rsid w:val="005955D9"/>
    <w:rsid w:val="00595B60"/>
    <w:rsid w:val="00595DCA"/>
    <w:rsid w:val="005966DF"/>
    <w:rsid w:val="00596BF0"/>
    <w:rsid w:val="0059779B"/>
    <w:rsid w:val="005A0A0F"/>
    <w:rsid w:val="005A1ED4"/>
    <w:rsid w:val="005A209A"/>
    <w:rsid w:val="005A22BB"/>
    <w:rsid w:val="005A2941"/>
    <w:rsid w:val="005A2D3E"/>
    <w:rsid w:val="005A2DB9"/>
    <w:rsid w:val="005A3F97"/>
    <w:rsid w:val="005A4EE2"/>
    <w:rsid w:val="005A519F"/>
    <w:rsid w:val="005A571B"/>
    <w:rsid w:val="005A6354"/>
    <w:rsid w:val="005A64F1"/>
    <w:rsid w:val="005A662D"/>
    <w:rsid w:val="005A703E"/>
    <w:rsid w:val="005A74A1"/>
    <w:rsid w:val="005B17CD"/>
    <w:rsid w:val="005B1A6F"/>
    <w:rsid w:val="005B2938"/>
    <w:rsid w:val="005B2C89"/>
    <w:rsid w:val="005B2E45"/>
    <w:rsid w:val="005B3481"/>
    <w:rsid w:val="005B35D7"/>
    <w:rsid w:val="005B392A"/>
    <w:rsid w:val="005B39F7"/>
    <w:rsid w:val="005B3AA3"/>
    <w:rsid w:val="005B45DE"/>
    <w:rsid w:val="005B4C1E"/>
    <w:rsid w:val="005B5C93"/>
    <w:rsid w:val="005B6F83"/>
    <w:rsid w:val="005C1E43"/>
    <w:rsid w:val="005C2797"/>
    <w:rsid w:val="005C2D16"/>
    <w:rsid w:val="005C2ED9"/>
    <w:rsid w:val="005C31DE"/>
    <w:rsid w:val="005C33E1"/>
    <w:rsid w:val="005C3FC9"/>
    <w:rsid w:val="005C4245"/>
    <w:rsid w:val="005C4532"/>
    <w:rsid w:val="005C495F"/>
    <w:rsid w:val="005C557E"/>
    <w:rsid w:val="005C58D4"/>
    <w:rsid w:val="005C61F6"/>
    <w:rsid w:val="005C63AE"/>
    <w:rsid w:val="005C6548"/>
    <w:rsid w:val="005C6CA7"/>
    <w:rsid w:val="005C6D8A"/>
    <w:rsid w:val="005C6EAF"/>
    <w:rsid w:val="005C74FB"/>
    <w:rsid w:val="005D0806"/>
    <w:rsid w:val="005D080A"/>
    <w:rsid w:val="005D0A7C"/>
    <w:rsid w:val="005D0E89"/>
    <w:rsid w:val="005D1602"/>
    <w:rsid w:val="005D1627"/>
    <w:rsid w:val="005D17F9"/>
    <w:rsid w:val="005D2963"/>
    <w:rsid w:val="005D304C"/>
    <w:rsid w:val="005D382E"/>
    <w:rsid w:val="005D3A41"/>
    <w:rsid w:val="005D439C"/>
    <w:rsid w:val="005D472A"/>
    <w:rsid w:val="005D4766"/>
    <w:rsid w:val="005D528E"/>
    <w:rsid w:val="005D542C"/>
    <w:rsid w:val="005D5D93"/>
    <w:rsid w:val="005D5DB5"/>
    <w:rsid w:val="005D610B"/>
    <w:rsid w:val="005D72CB"/>
    <w:rsid w:val="005D7561"/>
    <w:rsid w:val="005D76E4"/>
    <w:rsid w:val="005D775D"/>
    <w:rsid w:val="005D7E6C"/>
    <w:rsid w:val="005E07ED"/>
    <w:rsid w:val="005E1C98"/>
    <w:rsid w:val="005E2259"/>
    <w:rsid w:val="005E385F"/>
    <w:rsid w:val="005E3997"/>
    <w:rsid w:val="005E3DE7"/>
    <w:rsid w:val="005E3EEB"/>
    <w:rsid w:val="005E5197"/>
    <w:rsid w:val="005E53B0"/>
    <w:rsid w:val="005E5B81"/>
    <w:rsid w:val="005E72E7"/>
    <w:rsid w:val="005E755A"/>
    <w:rsid w:val="005E7FA1"/>
    <w:rsid w:val="005F062F"/>
    <w:rsid w:val="005F14A2"/>
    <w:rsid w:val="005F164E"/>
    <w:rsid w:val="005F19E3"/>
    <w:rsid w:val="005F2A0F"/>
    <w:rsid w:val="005F2CB1"/>
    <w:rsid w:val="005F3025"/>
    <w:rsid w:val="005F306C"/>
    <w:rsid w:val="005F3666"/>
    <w:rsid w:val="005F3F5D"/>
    <w:rsid w:val="005F4627"/>
    <w:rsid w:val="005F4ED8"/>
    <w:rsid w:val="005F5246"/>
    <w:rsid w:val="005F5616"/>
    <w:rsid w:val="005F618C"/>
    <w:rsid w:val="005F67C8"/>
    <w:rsid w:val="005F686F"/>
    <w:rsid w:val="005F6A5D"/>
    <w:rsid w:val="005F70BD"/>
    <w:rsid w:val="005F7943"/>
    <w:rsid w:val="00600783"/>
    <w:rsid w:val="0060080E"/>
    <w:rsid w:val="0060082B"/>
    <w:rsid w:val="00600BB2"/>
    <w:rsid w:val="00601161"/>
    <w:rsid w:val="0060179E"/>
    <w:rsid w:val="0060283C"/>
    <w:rsid w:val="00604443"/>
    <w:rsid w:val="00604BA5"/>
    <w:rsid w:val="00604F14"/>
    <w:rsid w:val="00605391"/>
    <w:rsid w:val="0060539F"/>
    <w:rsid w:val="00605732"/>
    <w:rsid w:val="00605F62"/>
    <w:rsid w:val="00606360"/>
    <w:rsid w:val="006063CC"/>
    <w:rsid w:val="00606643"/>
    <w:rsid w:val="00607BB5"/>
    <w:rsid w:val="00610361"/>
    <w:rsid w:val="00610417"/>
    <w:rsid w:val="00610612"/>
    <w:rsid w:val="00610A0E"/>
    <w:rsid w:val="00611A89"/>
    <w:rsid w:val="00611B83"/>
    <w:rsid w:val="0061206D"/>
    <w:rsid w:val="0061262D"/>
    <w:rsid w:val="00612756"/>
    <w:rsid w:val="00612775"/>
    <w:rsid w:val="00612CBC"/>
    <w:rsid w:val="00613257"/>
    <w:rsid w:val="00613299"/>
    <w:rsid w:val="006137D4"/>
    <w:rsid w:val="00613A70"/>
    <w:rsid w:val="0061569B"/>
    <w:rsid w:val="00615721"/>
    <w:rsid w:val="00616485"/>
    <w:rsid w:val="006169D7"/>
    <w:rsid w:val="006175CD"/>
    <w:rsid w:val="00620A71"/>
    <w:rsid w:val="00620B43"/>
    <w:rsid w:val="00620D80"/>
    <w:rsid w:val="00620E59"/>
    <w:rsid w:val="00621341"/>
    <w:rsid w:val="00621559"/>
    <w:rsid w:val="00622545"/>
    <w:rsid w:val="0062297C"/>
    <w:rsid w:val="00622BDB"/>
    <w:rsid w:val="00622FBF"/>
    <w:rsid w:val="006234A6"/>
    <w:rsid w:val="006238C6"/>
    <w:rsid w:val="00623E78"/>
    <w:rsid w:val="00624246"/>
    <w:rsid w:val="0062428A"/>
    <w:rsid w:val="00624B8A"/>
    <w:rsid w:val="00624CB1"/>
    <w:rsid w:val="00624D23"/>
    <w:rsid w:val="0062523C"/>
    <w:rsid w:val="00625396"/>
    <w:rsid w:val="006254F5"/>
    <w:rsid w:val="006259A6"/>
    <w:rsid w:val="006268AF"/>
    <w:rsid w:val="006268C6"/>
    <w:rsid w:val="00626E34"/>
    <w:rsid w:val="0062725B"/>
    <w:rsid w:val="006273B1"/>
    <w:rsid w:val="0062780F"/>
    <w:rsid w:val="00627E3E"/>
    <w:rsid w:val="00630001"/>
    <w:rsid w:val="00630780"/>
    <w:rsid w:val="00630837"/>
    <w:rsid w:val="00631012"/>
    <w:rsid w:val="006311B3"/>
    <w:rsid w:val="0063157F"/>
    <w:rsid w:val="00631D00"/>
    <w:rsid w:val="006326B6"/>
    <w:rsid w:val="0063284C"/>
    <w:rsid w:val="00632EA7"/>
    <w:rsid w:val="0063337E"/>
    <w:rsid w:val="0063340A"/>
    <w:rsid w:val="006336AC"/>
    <w:rsid w:val="00633D83"/>
    <w:rsid w:val="00634B9D"/>
    <w:rsid w:val="006353F5"/>
    <w:rsid w:val="0063541F"/>
    <w:rsid w:val="006355C2"/>
    <w:rsid w:val="006361C1"/>
    <w:rsid w:val="00636398"/>
    <w:rsid w:val="006368D3"/>
    <w:rsid w:val="0063753A"/>
    <w:rsid w:val="006377EC"/>
    <w:rsid w:val="00637C54"/>
    <w:rsid w:val="00640116"/>
    <w:rsid w:val="006401D0"/>
    <w:rsid w:val="00640CEE"/>
    <w:rsid w:val="0064151F"/>
    <w:rsid w:val="00641533"/>
    <w:rsid w:val="00641A44"/>
    <w:rsid w:val="0064208D"/>
    <w:rsid w:val="006421E2"/>
    <w:rsid w:val="00642DA2"/>
    <w:rsid w:val="0064345C"/>
    <w:rsid w:val="00643475"/>
    <w:rsid w:val="0064396A"/>
    <w:rsid w:val="00643A60"/>
    <w:rsid w:val="0064404C"/>
    <w:rsid w:val="00645F60"/>
    <w:rsid w:val="0064624E"/>
    <w:rsid w:val="00647230"/>
    <w:rsid w:val="00650AB9"/>
    <w:rsid w:val="00650EEB"/>
    <w:rsid w:val="00651227"/>
    <w:rsid w:val="00651439"/>
    <w:rsid w:val="00651E42"/>
    <w:rsid w:val="006527FB"/>
    <w:rsid w:val="00652FFC"/>
    <w:rsid w:val="00653162"/>
    <w:rsid w:val="00653583"/>
    <w:rsid w:val="00653B2B"/>
    <w:rsid w:val="00654221"/>
    <w:rsid w:val="00655733"/>
    <w:rsid w:val="00655751"/>
    <w:rsid w:val="00655ACD"/>
    <w:rsid w:val="00655F1C"/>
    <w:rsid w:val="00655FC0"/>
    <w:rsid w:val="0065609B"/>
    <w:rsid w:val="00656A92"/>
    <w:rsid w:val="00656AE0"/>
    <w:rsid w:val="00656DDE"/>
    <w:rsid w:val="00657E56"/>
    <w:rsid w:val="0066011D"/>
    <w:rsid w:val="006601C6"/>
    <w:rsid w:val="006607C0"/>
    <w:rsid w:val="006609D4"/>
    <w:rsid w:val="006613A6"/>
    <w:rsid w:val="00661B2D"/>
    <w:rsid w:val="00661BCA"/>
    <w:rsid w:val="006623DD"/>
    <w:rsid w:val="006627A2"/>
    <w:rsid w:val="006634E6"/>
    <w:rsid w:val="0066359C"/>
    <w:rsid w:val="00663BF2"/>
    <w:rsid w:val="00663C2D"/>
    <w:rsid w:val="00663E40"/>
    <w:rsid w:val="00663FA1"/>
    <w:rsid w:val="00664A3A"/>
    <w:rsid w:val="006655EE"/>
    <w:rsid w:val="006669B6"/>
    <w:rsid w:val="00666E03"/>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CC3"/>
    <w:rsid w:val="00675C72"/>
    <w:rsid w:val="00676901"/>
    <w:rsid w:val="0067719C"/>
    <w:rsid w:val="006771F9"/>
    <w:rsid w:val="0067767A"/>
    <w:rsid w:val="006776D7"/>
    <w:rsid w:val="006777B6"/>
    <w:rsid w:val="00680143"/>
    <w:rsid w:val="006801D5"/>
    <w:rsid w:val="0068021F"/>
    <w:rsid w:val="00680925"/>
    <w:rsid w:val="00680D2B"/>
    <w:rsid w:val="00681003"/>
    <w:rsid w:val="006817C9"/>
    <w:rsid w:val="006821D2"/>
    <w:rsid w:val="00682331"/>
    <w:rsid w:val="00682A5C"/>
    <w:rsid w:val="00682E80"/>
    <w:rsid w:val="00682EA0"/>
    <w:rsid w:val="00683094"/>
    <w:rsid w:val="00683ECE"/>
    <w:rsid w:val="00683FC1"/>
    <w:rsid w:val="00684B5D"/>
    <w:rsid w:val="00684D0F"/>
    <w:rsid w:val="00684D7B"/>
    <w:rsid w:val="00685459"/>
    <w:rsid w:val="00686BEA"/>
    <w:rsid w:val="006874FF"/>
    <w:rsid w:val="0069099B"/>
    <w:rsid w:val="00691D35"/>
    <w:rsid w:val="00692288"/>
    <w:rsid w:val="00692947"/>
    <w:rsid w:val="00693420"/>
    <w:rsid w:val="00693EE0"/>
    <w:rsid w:val="00694CE9"/>
    <w:rsid w:val="006956A6"/>
    <w:rsid w:val="0069589F"/>
    <w:rsid w:val="00695BA8"/>
    <w:rsid w:val="00695FC2"/>
    <w:rsid w:val="0069601D"/>
    <w:rsid w:val="00696949"/>
    <w:rsid w:val="00697052"/>
    <w:rsid w:val="00697951"/>
    <w:rsid w:val="00697BAE"/>
    <w:rsid w:val="006A0A9A"/>
    <w:rsid w:val="006A1AF7"/>
    <w:rsid w:val="006A1E84"/>
    <w:rsid w:val="006A2039"/>
    <w:rsid w:val="006A2589"/>
    <w:rsid w:val="006A27A1"/>
    <w:rsid w:val="006A282A"/>
    <w:rsid w:val="006A3A20"/>
    <w:rsid w:val="006A3B17"/>
    <w:rsid w:val="006A4602"/>
    <w:rsid w:val="006A46FB"/>
    <w:rsid w:val="006A53AA"/>
    <w:rsid w:val="006A5E28"/>
    <w:rsid w:val="006A5E37"/>
    <w:rsid w:val="006A5E99"/>
    <w:rsid w:val="006A63BF"/>
    <w:rsid w:val="006A697B"/>
    <w:rsid w:val="006A6B07"/>
    <w:rsid w:val="006A7AFF"/>
    <w:rsid w:val="006B02F6"/>
    <w:rsid w:val="006B06EB"/>
    <w:rsid w:val="006B07F1"/>
    <w:rsid w:val="006B1816"/>
    <w:rsid w:val="006B1BE0"/>
    <w:rsid w:val="006B1E42"/>
    <w:rsid w:val="006B2099"/>
    <w:rsid w:val="006B235E"/>
    <w:rsid w:val="006B2533"/>
    <w:rsid w:val="006B27AB"/>
    <w:rsid w:val="006B27D0"/>
    <w:rsid w:val="006B29DD"/>
    <w:rsid w:val="006B31F0"/>
    <w:rsid w:val="006B353D"/>
    <w:rsid w:val="006B50CF"/>
    <w:rsid w:val="006B5460"/>
    <w:rsid w:val="006B60F0"/>
    <w:rsid w:val="006B639B"/>
    <w:rsid w:val="006B796F"/>
    <w:rsid w:val="006B7ED0"/>
    <w:rsid w:val="006C0238"/>
    <w:rsid w:val="006C03B8"/>
    <w:rsid w:val="006C100F"/>
    <w:rsid w:val="006C1EE6"/>
    <w:rsid w:val="006C1F08"/>
    <w:rsid w:val="006C2A21"/>
    <w:rsid w:val="006C2B12"/>
    <w:rsid w:val="006C2C70"/>
    <w:rsid w:val="006C2FDC"/>
    <w:rsid w:val="006C3863"/>
    <w:rsid w:val="006C38B9"/>
    <w:rsid w:val="006C39AC"/>
    <w:rsid w:val="006C4A4B"/>
    <w:rsid w:val="006C4D67"/>
    <w:rsid w:val="006C4ECD"/>
    <w:rsid w:val="006C5805"/>
    <w:rsid w:val="006C590F"/>
    <w:rsid w:val="006C5CFF"/>
    <w:rsid w:val="006C5EC9"/>
    <w:rsid w:val="006C5FDE"/>
    <w:rsid w:val="006C6059"/>
    <w:rsid w:val="006C633B"/>
    <w:rsid w:val="006C6A31"/>
    <w:rsid w:val="006C6AE0"/>
    <w:rsid w:val="006C6CF7"/>
    <w:rsid w:val="006C7424"/>
    <w:rsid w:val="006C7522"/>
    <w:rsid w:val="006D0A7E"/>
    <w:rsid w:val="006D0B1B"/>
    <w:rsid w:val="006D0B9C"/>
    <w:rsid w:val="006D1806"/>
    <w:rsid w:val="006D1F73"/>
    <w:rsid w:val="006D2406"/>
    <w:rsid w:val="006D2768"/>
    <w:rsid w:val="006D27E8"/>
    <w:rsid w:val="006D2846"/>
    <w:rsid w:val="006D338F"/>
    <w:rsid w:val="006D3AC2"/>
    <w:rsid w:val="006D3AC9"/>
    <w:rsid w:val="006D4105"/>
    <w:rsid w:val="006D46E9"/>
    <w:rsid w:val="006D587C"/>
    <w:rsid w:val="006D59C7"/>
    <w:rsid w:val="006D59F3"/>
    <w:rsid w:val="006D5C05"/>
    <w:rsid w:val="006D5D20"/>
    <w:rsid w:val="006D630F"/>
    <w:rsid w:val="006D63B3"/>
    <w:rsid w:val="006D6F08"/>
    <w:rsid w:val="006D70A5"/>
    <w:rsid w:val="006D7606"/>
    <w:rsid w:val="006D7CCE"/>
    <w:rsid w:val="006E01C9"/>
    <w:rsid w:val="006E03A1"/>
    <w:rsid w:val="006E04FE"/>
    <w:rsid w:val="006E05DF"/>
    <w:rsid w:val="006E062C"/>
    <w:rsid w:val="006E17F7"/>
    <w:rsid w:val="006E21EA"/>
    <w:rsid w:val="006E22AE"/>
    <w:rsid w:val="006E28B7"/>
    <w:rsid w:val="006E2CE3"/>
    <w:rsid w:val="006E2FB7"/>
    <w:rsid w:val="006E31BC"/>
    <w:rsid w:val="006E3310"/>
    <w:rsid w:val="006E35A5"/>
    <w:rsid w:val="006E3AC3"/>
    <w:rsid w:val="006E47BC"/>
    <w:rsid w:val="006E4E39"/>
    <w:rsid w:val="006E50B5"/>
    <w:rsid w:val="006E565E"/>
    <w:rsid w:val="006E5C98"/>
    <w:rsid w:val="006E5FA3"/>
    <w:rsid w:val="006E673D"/>
    <w:rsid w:val="006E6EC8"/>
    <w:rsid w:val="006E73AE"/>
    <w:rsid w:val="006E7898"/>
    <w:rsid w:val="006E7D3B"/>
    <w:rsid w:val="006E7F4F"/>
    <w:rsid w:val="006F01B6"/>
    <w:rsid w:val="006F0C31"/>
    <w:rsid w:val="006F1B70"/>
    <w:rsid w:val="006F1E38"/>
    <w:rsid w:val="006F2117"/>
    <w:rsid w:val="006F2235"/>
    <w:rsid w:val="006F263E"/>
    <w:rsid w:val="006F2DD7"/>
    <w:rsid w:val="006F341D"/>
    <w:rsid w:val="006F3931"/>
    <w:rsid w:val="006F3CDE"/>
    <w:rsid w:val="006F415D"/>
    <w:rsid w:val="006F4222"/>
    <w:rsid w:val="006F4344"/>
    <w:rsid w:val="006F4D8E"/>
    <w:rsid w:val="006F50BB"/>
    <w:rsid w:val="006F51DD"/>
    <w:rsid w:val="006F5639"/>
    <w:rsid w:val="006F58D4"/>
    <w:rsid w:val="006F5AF6"/>
    <w:rsid w:val="006F5C2C"/>
    <w:rsid w:val="006F64BA"/>
    <w:rsid w:val="006F6843"/>
    <w:rsid w:val="006F6A00"/>
    <w:rsid w:val="006F74C2"/>
    <w:rsid w:val="006F794B"/>
    <w:rsid w:val="006F7E6F"/>
    <w:rsid w:val="00700F32"/>
    <w:rsid w:val="00701BC8"/>
    <w:rsid w:val="00701EAD"/>
    <w:rsid w:val="00701FE4"/>
    <w:rsid w:val="00702B6B"/>
    <w:rsid w:val="0070327E"/>
    <w:rsid w:val="0070346E"/>
    <w:rsid w:val="00704AC6"/>
    <w:rsid w:val="00704EDB"/>
    <w:rsid w:val="0070537F"/>
    <w:rsid w:val="007055C7"/>
    <w:rsid w:val="007057B5"/>
    <w:rsid w:val="00705A56"/>
    <w:rsid w:val="00705C5D"/>
    <w:rsid w:val="00706101"/>
    <w:rsid w:val="0070640D"/>
    <w:rsid w:val="0070658A"/>
    <w:rsid w:val="00707072"/>
    <w:rsid w:val="0070723A"/>
    <w:rsid w:val="00707D61"/>
    <w:rsid w:val="00707F10"/>
    <w:rsid w:val="007116B4"/>
    <w:rsid w:val="007117E0"/>
    <w:rsid w:val="00711FF0"/>
    <w:rsid w:val="00712287"/>
    <w:rsid w:val="00712772"/>
    <w:rsid w:val="00712775"/>
    <w:rsid w:val="00712882"/>
    <w:rsid w:val="0071291B"/>
    <w:rsid w:val="00712C65"/>
    <w:rsid w:val="00713308"/>
    <w:rsid w:val="00713B4C"/>
    <w:rsid w:val="007142F8"/>
    <w:rsid w:val="007145B7"/>
    <w:rsid w:val="007148D3"/>
    <w:rsid w:val="00715B9A"/>
    <w:rsid w:val="00715DF5"/>
    <w:rsid w:val="007160F6"/>
    <w:rsid w:val="00716359"/>
    <w:rsid w:val="00716977"/>
    <w:rsid w:val="007172A4"/>
    <w:rsid w:val="007174A9"/>
    <w:rsid w:val="00717AEF"/>
    <w:rsid w:val="00717D52"/>
    <w:rsid w:val="00717EC8"/>
    <w:rsid w:val="00720129"/>
    <w:rsid w:val="0072029C"/>
    <w:rsid w:val="007207E0"/>
    <w:rsid w:val="00720A29"/>
    <w:rsid w:val="00720D6E"/>
    <w:rsid w:val="00720E14"/>
    <w:rsid w:val="00720FB2"/>
    <w:rsid w:val="00721593"/>
    <w:rsid w:val="007217B4"/>
    <w:rsid w:val="00722042"/>
    <w:rsid w:val="00722ED3"/>
    <w:rsid w:val="007231C6"/>
    <w:rsid w:val="0072359E"/>
    <w:rsid w:val="00723B42"/>
    <w:rsid w:val="0072441E"/>
    <w:rsid w:val="007255D2"/>
    <w:rsid w:val="00725CDF"/>
    <w:rsid w:val="00726422"/>
    <w:rsid w:val="00726EA6"/>
    <w:rsid w:val="00727208"/>
    <w:rsid w:val="0072766F"/>
    <w:rsid w:val="00727680"/>
    <w:rsid w:val="00727BE1"/>
    <w:rsid w:val="00727EC3"/>
    <w:rsid w:val="007301DD"/>
    <w:rsid w:val="00730860"/>
    <w:rsid w:val="00731E32"/>
    <w:rsid w:val="00733BDE"/>
    <w:rsid w:val="00734874"/>
    <w:rsid w:val="007348B1"/>
    <w:rsid w:val="00734B23"/>
    <w:rsid w:val="007356CD"/>
    <w:rsid w:val="007358ED"/>
    <w:rsid w:val="007361C8"/>
    <w:rsid w:val="007362A6"/>
    <w:rsid w:val="00736657"/>
    <w:rsid w:val="0073666A"/>
    <w:rsid w:val="00736D7D"/>
    <w:rsid w:val="00737F7B"/>
    <w:rsid w:val="0074046A"/>
    <w:rsid w:val="00740E58"/>
    <w:rsid w:val="00740F0B"/>
    <w:rsid w:val="007422EF"/>
    <w:rsid w:val="007429DC"/>
    <w:rsid w:val="00742A0C"/>
    <w:rsid w:val="00743E60"/>
    <w:rsid w:val="00744007"/>
    <w:rsid w:val="00744376"/>
    <w:rsid w:val="007445A0"/>
    <w:rsid w:val="007448FE"/>
    <w:rsid w:val="0074524B"/>
    <w:rsid w:val="007455B1"/>
    <w:rsid w:val="00745C9E"/>
    <w:rsid w:val="00746B70"/>
    <w:rsid w:val="007472B6"/>
    <w:rsid w:val="007474EC"/>
    <w:rsid w:val="00747BA4"/>
    <w:rsid w:val="00747D8B"/>
    <w:rsid w:val="00750FA1"/>
    <w:rsid w:val="00751228"/>
    <w:rsid w:val="007515ED"/>
    <w:rsid w:val="0075190A"/>
    <w:rsid w:val="00752885"/>
    <w:rsid w:val="007529C3"/>
    <w:rsid w:val="00753850"/>
    <w:rsid w:val="00754966"/>
    <w:rsid w:val="00754C5E"/>
    <w:rsid w:val="007552B3"/>
    <w:rsid w:val="00755349"/>
    <w:rsid w:val="007556C9"/>
    <w:rsid w:val="007560FD"/>
    <w:rsid w:val="0075619E"/>
    <w:rsid w:val="0075634C"/>
    <w:rsid w:val="007571E1"/>
    <w:rsid w:val="0075720C"/>
    <w:rsid w:val="00757334"/>
    <w:rsid w:val="00757633"/>
    <w:rsid w:val="00757746"/>
    <w:rsid w:val="0076023F"/>
    <w:rsid w:val="007604B2"/>
    <w:rsid w:val="007609FA"/>
    <w:rsid w:val="007616B3"/>
    <w:rsid w:val="00761953"/>
    <w:rsid w:val="00761E43"/>
    <w:rsid w:val="007630EA"/>
    <w:rsid w:val="007633DE"/>
    <w:rsid w:val="00763A6D"/>
    <w:rsid w:val="00764EBC"/>
    <w:rsid w:val="00764FBD"/>
    <w:rsid w:val="007651F7"/>
    <w:rsid w:val="00765281"/>
    <w:rsid w:val="00765381"/>
    <w:rsid w:val="007658A5"/>
    <w:rsid w:val="00765AEE"/>
    <w:rsid w:val="00765B0D"/>
    <w:rsid w:val="00765BBF"/>
    <w:rsid w:val="007662AD"/>
    <w:rsid w:val="00766BAD"/>
    <w:rsid w:val="00766E35"/>
    <w:rsid w:val="00767266"/>
    <w:rsid w:val="0077013A"/>
    <w:rsid w:val="00770154"/>
    <w:rsid w:val="00771219"/>
    <w:rsid w:val="00772534"/>
    <w:rsid w:val="00772584"/>
    <w:rsid w:val="00772969"/>
    <w:rsid w:val="007730BD"/>
    <w:rsid w:val="00773531"/>
    <w:rsid w:val="00773807"/>
    <w:rsid w:val="00773879"/>
    <w:rsid w:val="00773DFA"/>
    <w:rsid w:val="0077428B"/>
    <w:rsid w:val="007755F2"/>
    <w:rsid w:val="007757B1"/>
    <w:rsid w:val="007762C9"/>
    <w:rsid w:val="00776800"/>
    <w:rsid w:val="00776971"/>
    <w:rsid w:val="00777396"/>
    <w:rsid w:val="00777B08"/>
    <w:rsid w:val="00777CEB"/>
    <w:rsid w:val="00777D00"/>
    <w:rsid w:val="007802A7"/>
    <w:rsid w:val="00780462"/>
    <w:rsid w:val="00780D5D"/>
    <w:rsid w:val="007813B7"/>
    <w:rsid w:val="0078177E"/>
    <w:rsid w:val="00782221"/>
    <w:rsid w:val="00782881"/>
    <w:rsid w:val="00782B37"/>
    <w:rsid w:val="00782D5B"/>
    <w:rsid w:val="00782FB4"/>
    <w:rsid w:val="00782FC9"/>
    <w:rsid w:val="00783032"/>
    <w:rsid w:val="0078304C"/>
    <w:rsid w:val="00783102"/>
    <w:rsid w:val="0078315C"/>
    <w:rsid w:val="00783673"/>
    <w:rsid w:val="00783E02"/>
    <w:rsid w:val="00785490"/>
    <w:rsid w:val="007868B9"/>
    <w:rsid w:val="00786B35"/>
    <w:rsid w:val="00786B46"/>
    <w:rsid w:val="00786CB8"/>
    <w:rsid w:val="00786FAC"/>
    <w:rsid w:val="007872EC"/>
    <w:rsid w:val="007875D4"/>
    <w:rsid w:val="00787CEA"/>
    <w:rsid w:val="0079005B"/>
    <w:rsid w:val="007903B3"/>
    <w:rsid w:val="00790AAA"/>
    <w:rsid w:val="00790B0C"/>
    <w:rsid w:val="00790E4F"/>
    <w:rsid w:val="00791088"/>
    <w:rsid w:val="00791950"/>
    <w:rsid w:val="00792412"/>
    <w:rsid w:val="007925EA"/>
    <w:rsid w:val="00792770"/>
    <w:rsid w:val="0079312C"/>
    <w:rsid w:val="00793245"/>
    <w:rsid w:val="0079384E"/>
    <w:rsid w:val="00793CD8"/>
    <w:rsid w:val="007941EF"/>
    <w:rsid w:val="00795277"/>
    <w:rsid w:val="007958D5"/>
    <w:rsid w:val="007959F1"/>
    <w:rsid w:val="00795AE2"/>
    <w:rsid w:val="00795C92"/>
    <w:rsid w:val="00795E6B"/>
    <w:rsid w:val="00795F6F"/>
    <w:rsid w:val="00796231"/>
    <w:rsid w:val="007963B9"/>
    <w:rsid w:val="00796F14"/>
    <w:rsid w:val="007970C9"/>
    <w:rsid w:val="00797F56"/>
    <w:rsid w:val="007A0BDD"/>
    <w:rsid w:val="007A1CB3"/>
    <w:rsid w:val="007A2CF7"/>
    <w:rsid w:val="007A306F"/>
    <w:rsid w:val="007A3472"/>
    <w:rsid w:val="007A3C8F"/>
    <w:rsid w:val="007A4023"/>
    <w:rsid w:val="007A43A6"/>
    <w:rsid w:val="007A4A85"/>
    <w:rsid w:val="007A55EF"/>
    <w:rsid w:val="007A58A6"/>
    <w:rsid w:val="007A6600"/>
    <w:rsid w:val="007A7202"/>
    <w:rsid w:val="007A7354"/>
    <w:rsid w:val="007A7C57"/>
    <w:rsid w:val="007B0C78"/>
    <w:rsid w:val="007B1199"/>
    <w:rsid w:val="007B15A8"/>
    <w:rsid w:val="007B15C9"/>
    <w:rsid w:val="007B1C2B"/>
    <w:rsid w:val="007B27C6"/>
    <w:rsid w:val="007B2F2C"/>
    <w:rsid w:val="007B3702"/>
    <w:rsid w:val="007B3905"/>
    <w:rsid w:val="007B3D2D"/>
    <w:rsid w:val="007B4E76"/>
    <w:rsid w:val="007B4EB4"/>
    <w:rsid w:val="007B50AE"/>
    <w:rsid w:val="007B51DF"/>
    <w:rsid w:val="007B55AC"/>
    <w:rsid w:val="007B6FFF"/>
    <w:rsid w:val="007C05DD"/>
    <w:rsid w:val="007C0ACB"/>
    <w:rsid w:val="007C0E11"/>
    <w:rsid w:val="007C13ED"/>
    <w:rsid w:val="007C1EE8"/>
    <w:rsid w:val="007C20F6"/>
    <w:rsid w:val="007C2E19"/>
    <w:rsid w:val="007C3D18"/>
    <w:rsid w:val="007C3E73"/>
    <w:rsid w:val="007C47C9"/>
    <w:rsid w:val="007C4DA2"/>
    <w:rsid w:val="007C60BF"/>
    <w:rsid w:val="007C6A07"/>
    <w:rsid w:val="007C71F3"/>
    <w:rsid w:val="007C7350"/>
    <w:rsid w:val="007C75A1"/>
    <w:rsid w:val="007C77A5"/>
    <w:rsid w:val="007C7C91"/>
    <w:rsid w:val="007D0457"/>
    <w:rsid w:val="007D04E5"/>
    <w:rsid w:val="007D0EAF"/>
    <w:rsid w:val="007D1027"/>
    <w:rsid w:val="007D137B"/>
    <w:rsid w:val="007D1FCB"/>
    <w:rsid w:val="007D1FFB"/>
    <w:rsid w:val="007D29F2"/>
    <w:rsid w:val="007D2EA2"/>
    <w:rsid w:val="007D3269"/>
    <w:rsid w:val="007D347F"/>
    <w:rsid w:val="007D3660"/>
    <w:rsid w:val="007D4892"/>
    <w:rsid w:val="007D5309"/>
    <w:rsid w:val="007D58B4"/>
    <w:rsid w:val="007D5901"/>
    <w:rsid w:val="007D59FE"/>
    <w:rsid w:val="007D62AF"/>
    <w:rsid w:val="007D632D"/>
    <w:rsid w:val="007D6E5F"/>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C28"/>
    <w:rsid w:val="007E6D14"/>
    <w:rsid w:val="007E6EA4"/>
    <w:rsid w:val="007E6F09"/>
    <w:rsid w:val="007E7091"/>
    <w:rsid w:val="007E70BB"/>
    <w:rsid w:val="007E7521"/>
    <w:rsid w:val="007F03D1"/>
    <w:rsid w:val="007F0B67"/>
    <w:rsid w:val="007F0EAE"/>
    <w:rsid w:val="007F1388"/>
    <w:rsid w:val="007F1713"/>
    <w:rsid w:val="007F1D05"/>
    <w:rsid w:val="007F23AC"/>
    <w:rsid w:val="007F3056"/>
    <w:rsid w:val="007F30B7"/>
    <w:rsid w:val="007F31D4"/>
    <w:rsid w:val="007F3AD7"/>
    <w:rsid w:val="007F49C8"/>
    <w:rsid w:val="007F5CDD"/>
    <w:rsid w:val="007F5D6F"/>
    <w:rsid w:val="007F6B18"/>
    <w:rsid w:val="008002FF"/>
    <w:rsid w:val="00800FF0"/>
    <w:rsid w:val="00801259"/>
    <w:rsid w:val="008019AB"/>
    <w:rsid w:val="00801AAC"/>
    <w:rsid w:val="0080223B"/>
    <w:rsid w:val="00802E78"/>
    <w:rsid w:val="00803EAA"/>
    <w:rsid w:val="00803FAE"/>
    <w:rsid w:val="0080409E"/>
    <w:rsid w:val="00804745"/>
    <w:rsid w:val="0080481B"/>
    <w:rsid w:val="0080503E"/>
    <w:rsid w:val="00805290"/>
    <w:rsid w:val="0080573A"/>
    <w:rsid w:val="0080605F"/>
    <w:rsid w:val="008060AD"/>
    <w:rsid w:val="008069FE"/>
    <w:rsid w:val="00807786"/>
    <w:rsid w:val="00810C88"/>
    <w:rsid w:val="00811FCB"/>
    <w:rsid w:val="00812E15"/>
    <w:rsid w:val="00812FA4"/>
    <w:rsid w:val="008130E1"/>
    <w:rsid w:val="008130F9"/>
    <w:rsid w:val="008132E5"/>
    <w:rsid w:val="00813436"/>
    <w:rsid w:val="00815273"/>
    <w:rsid w:val="00815659"/>
    <w:rsid w:val="008158D6"/>
    <w:rsid w:val="008161F8"/>
    <w:rsid w:val="00817196"/>
    <w:rsid w:val="00817A92"/>
    <w:rsid w:val="008204E5"/>
    <w:rsid w:val="00820834"/>
    <w:rsid w:val="00820A73"/>
    <w:rsid w:val="0082124D"/>
    <w:rsid w:val="00821DDA"/>
    <w:rsid w:val="00821EFC"/>
    <w:rsid w:val="00821F34"/>
    <w:rsid w:val="00822A3A"/>
    <w:rsid w:val="008235DB"/>
    <w:rsid w:val="00824AB4"/>
    <w:rsid w:val="00824B02"/>
    <w:rsid w:val="00825C42"/>
    <w:rsid w:val="00825D25"/>
    <w:rsid w:val="008265B7"/>
    <w:rsid w:val="0082755A"/>
    <w:rsid w:val="00827761"/>
    <w:rsid w:val="00827B4A"/>
    <w:rsid w:val="00827B85"/>
    <w:rsid w:val="00827D6F"/>
    <w:rsid w:val="00831DFA"/>
    <w:rsid w:val="00832376"/>
    <w:rsid w:val="00832794"/>
    <w:rsid w:val="00832848"/>
    <w:rsid w:val="00832C4C"/>
    <w:rsid w:val="0083321F"/>
    <w:rsid w:val="00833DE0"/>
    <w:rsid w:val="00834B41"/>
    <w:rsid w:val="00834E03"/>
    <w:rsid w:val="0083511D"/>
    <w:rsid w:val="008359E6"/>
    <w:rsid w:val="008362FC"/>
    <w:rsid w:val="00836307"/>
    <w:rsid w:val="0083733B"/>
    <w:rsid w:val="008376AC"/>
    <w:rsid w:val="00837D05"/>
    <w:rsid w:val="00837EDA"/>
    <w:rsid w:val="00837F6B"/>
    <w:rsid w:val="0084044A"/>
    <w:rsid w:val="008407DD"/>
    <w:rsid w:val="00840E28"/>
    <w:rsid w:val="00841D38"/>
    <w:rsid w:val="00842225"/>
    <w:rsid w:val="0084436A"/>
    <w:rsid w:val="008443D3"/>
    <w:rsid w:val="008444E8"/>
    <w:rsid w:val="00844E80"/>
    <w:rsid w:val="00845A39"/>
    <w:rsid w:val="00845B06"/>
    <w:rsid w:val="00846FE7"/>
    <w:rsid w:val="00847424"/>
    <w:rsid w:val="00847574"/>
    <w:rsid w:val="0084761B"/>
    <w:rsid w:val="008477CD"/>
    <w:rsid w:val="00847870"/>
    <w:rsid w:val="008479B5"/>
    <w:rsid w:val="00847E30"/>
    <w:rsid w:val="00850CEC"/>
    <w:rsid w:val="00852C9F"/>
    <w:rsid w:val="00854A60"/>
    <w:rsid w:val="00855B06"/>
    <w:rsid w:val="0085626F"/>
    <w:rsid w:val="00856911"/>
    <w:rsid w:val="00856917"/>
    <w:rsid w:val="00856B1D"/>
    <w:rsid w:val="00856BA4"/>
    <w:rsid w:val="00857C3A"/>
    <w:rsid w:val="00857E8D"/>
    <w:rsid w:val="00857F60"/>
    <w:rsid w:val="00862397"/>
    <w:rsid w:val="0086251D"/>
    <w:rsid w:val="0086325B"/>
    <w:rsid w:val="00863435"/>
    <w:rsid w:val="00863F02"/>
    <w:rsid w:val="00865AA2"/>
    <w:rsid w:val="00866A86"/>
    <w:rsid w:val="008677FD"/>
    <w:rsid w:val="00867F7D"/>
    <w:rsid w:val="00867F91"/>
    <w:rsid w:val="00870579"/>
    <w:rsid w:val="008706D4"/>
    <w:rsid w:val="00870997"/>
    <w:rsid w:val="00870CF0"/>
    <w:rsid w:val="00870F8A"/>
    <w:rsid w:val="0087129E"/>
    <w:rsid w:val="0087143B"/>
    <w:rsid w:val="00871527"/>
    <w:rsid w:val="008719A4"/>
    <w:rsid w:val="00871D23"/>
    <w:rsid w:val="00871F8C"/>
    <w:rsid w:val="0087287E"/>
    <w:rsid w:val="00873732"/>
    <w:rsid w:val="00873D37"/>
    <w:rsid w:val="00873F28"/>
    <w:rsid w:val="0087429E"/>
    <w:rsid w:val="00874312"/>
    <w:rsid w:val="0087437C"/>
    <w:rsid w:val="00875032"/>
    <w:rsid w:val="00875CD7"/>
    <w:rsid w:val="00875E97"/>
    <w:rsid w:val="0087621E"/>
    <w:rsid w:val="008763F0"/>
    <w:rsid w:val="00876466"/>
    <w:rsid w:val="0087675B"/>
    <w:rsid w:val="00876B4D"/>
    <w:rsid w:val="0087707E"/>
    <w:rsid w:val="00877265"/>
    <w:rsid w:val="00877D05"/>
    <w:rsid w:val="00877DB2"/>
    <w:rsid w:val="00877EF3"/>
    <w:rsid w:val="00877F18"/>
    <w:rsid w:val="0088046F"/>
    <w:rsid w:val="008804BF"/>
    <w:rsid w:val="00880622"/>
    <w:rsid w:val="00880810"/>
    <w:rsid w:val="00881625"/>
    <w:rsid w:val="00881C1B"/>
    <w:rsid w:val="00882C47"/>
    <w:rsid w:val="00882D5D"/>
    <w:rsid w:val="008833F5"/>
    <w:rsid w:val="008833FB"/>
    <w:rsid w:val="00883AAB"/>
    <w:rsid w:val="008840EF"/>
    <w:rsid w:val="008842A1"/>
    <w:rsid w:val="008843E9"/>
    <w:rsid w:val="00885E87"/>
    <w:rsid w:val="00886800"/>
    <w:rsid w:val="00890432"/>
    <w:rsid w:val="00890571"/>
    <w:rsid w:val="00890960"/>
    <w:rsid w:val="00890DC7"/>
    <w:rsid w:val="00890EBA"/>
    <w:rsid w:val="0089119A"/>
    <w:rsid w:val="00892215"/>
    <w:rsid w:val="008926DE"/>
    <w:rsid w:val="00892722"/>
    <w:rsid w:val="00892BC9"/>
    <w:rsid w:val="00892DD2"/>
    <w:rsid w:val="00892E4B"/>
    <w:rsid w:val="00893BB0"/>
    <w:rsid w:val="00893E09"/>
    <w:rsid w:val="00893EF3"/>
    <w:rsid w:val="00894419"/>
    <w:rsid w:val="00894594"/>
    <w:rsid w:val="0089460D"/>
    <w:rsid w:val="00894A88"/>
    <w:rsid w:val="00894AA9"/>
    <w:rsid w:val="00894D6D"/>
    <w:rsid w:val="0089508A"/>
    <w:rsid w:val="0089529C"/>
    <w:rsid w:val="00895386"/>
    <w:rsid w:val="00895B85"/>
    <w:rsid w:val="00896A80"/>
    <w:rsid w:val="0089724F"/>
    <w:rsid w:val="008A041D"/>
    <w:rsid w:val="008A06FA"/>
    <w:rsid w:val="008A1C20"/>
    <w:rsid w:val="008A21F2"/>
    <w:rsid w:val="008A21FF"/>
    <w:rsid w:val="008A2857"/>
    <w:rsid w:val="008A2CE2"/>
    <w:rsid w:val="008A30AC"/>
    <w:rsid w:val="008A4052"/>
    <w:rsid w:val="008A44B8"/>
    <w:rsid w:val="008A467D"/>
    <w:rsid w:val="008A4C42"/>
    <w:rsid w:val="008A5094"/>
    <w:rsid w:val="008A51A8"/>
    <w:rsid w:val="008A5206"/>
    <w:rsid w:val="008A54C7"/>
    <w:rsid w:val="008A61A8"/>
    <w:rsid w:val="008A6602"/>
    <w:rsid w:val="008A6828"/>
    <w:rsid w:val="008A6EFE"/>
    <w:rsid w:val="008A7415"/>
    <w:rsid w:val="008A77D8"/>
    <w:rsid w:val="008A781B"/>
    <w:rsid w:val="008A7B95"/>
    <w:rsid w:val="008A7F00"/>
    <w:rsid w:val="008A7FFA"/>
    <w:rsid w:val="008B0483"/>
    <w:rsid w:val="008B120C"/>
    <w:rsid w:val="008B1B00"/>
    <w:rsid w:val="008B2996"/>
    <w:rsid w:val="008B2D09"/>
    <w:rsid w:val="008B2E71"/>
    <w:rsid w:val="008B4039"/>
    <w:rsid w:val="008B4748"/>
    <w:rsid w:val="008B48C0"/>
    <w:rsid w:val="008B4C59"/>
    <w:rsid w:val="008B515C"/>
    <w:rsid w:val="008B51A0"/>
    <w:rsid w:val="008B592A"/>
    <w:rsid w:val="008B5CE9"/>
    <w:rsid w:val="008B5DC6"/>
    <w:rsid w:val="008B64C4"/>
    <w:rsid w:val="008B6712"/>
    <w:rsid w:val="008B70F0"/>
    <w:rsid w:val="008B7155"/>
    <w:rsid w:val="008B7B5C"/>
    <w:rsid w:val="008B7D6F"/>
    <w:rsid w:val="008C019F"/>
    <w:rsid w:val="008C0613"/>
    <w:rsid w:val="008C0C99"/>
    <w:rsid w:val="008C1588"/>
    <w:rsid w:val="008C16F3"/>
    <w:rsid w:val="008C18D4"/>
    <w:rsid w:val="008C2017"/>
    <w:rsid w:val="008C256E"/>
    <w:rsid w:val="008C2AA7"/>
    <w:rsid w:val="008C38C7"/>
    <w:rsid w:val="008C3E7B"/>
    <w:rsid w:val="008C42F8"/>
    <w:rsid w:val="008C45E3"/>
    <w:rsid w:val="008C4621"/>
    <w:rsid w:val="008C4958"/>
    <w:rsid w:val="008C4BAA"/>
    <w:rsid w:val="008C4C64"/>
    <w:rsid w:val="008C55AE"/>
    <w:rsid w:val="008C63CD"/>
    <w:rsid w:val="008C6AE8"/>
    <w:rsid w:val="008C6D30"/>
    <w:rsid w:val="008C6DCD"/>
    <w:rsid w:val="008C7573"/>
    <w:rsid w:val="008D06CC"/>
    <w:rsid w:val="008D0A60"/>
    <w:rsid w:val="008D0C67"/>
    <w:rsid w:val="008D111E"/>
    <w:rsid w:val="008D17F8"/>
    <w:rsid w:val="008D2874"/>
    <w:rsid w:val="008D2EF8"/>
    <w:rsid w:val="008D337A"/>
    <w:rsid w:val="008D3477"/>
    <w:rsid w:val="008D34F1"/>
    <w:rsid w:val="008D395B"/>
    <w:rsid w:val="008D39D8"/>
    <w:rsid w:val="008D4216"/>
    <w:rsid w:val="008D4448"/>
    <w:rsid w:val="008D4B3C"/>
    <w:rsid w:val="008D4BF2"/>
    <w:rsid w:val="008D500F"/>
    <w:rsid w:val="008D57F4"/>
    <w:rsid w:val="008D5CCD"/>
    <w:rsid w:val="008D6737"/>
    <w:rsid w:val="008D6AD5"/>
    <w:rsid w:val="008D6D1A"/>
    <w:rsid w:val="008E065E"/>
    <w:rsid w:val="008E06F5"/>
    <w:rsid w:val="008E07DC"/>
    <w:rsid w:val="008E0927"/>
    <w:rsid w:val="008E0C85"/>
    <w:rsid w:val="008E0F80"/>
    <w:rsid w:val="008E10BA"/>
    <w:rsid w:val="008E159E"/>
    <w:rsid w:val="008E1723"/>
    <w:rsid w:val="008E1909"/>
    <w:rsid w:val="008E1D70"/>
    <w:rsid w:val="008E2FF6"/>
    <w:rsid w:val="008E42B0"/>
    <w:rsid w:val="008E482B"/>
    <w:rsid w:val="008E4CA5"/>
    <w:rsid w:val="008E5FD1"/>
    <w:rsid w:val="008E6605"/>
    <w:rsid w:val="008F10E9"/>
    <w:rsid w:val="008F1A19"/>
    <w:rsid w:val="008F1C35"/>
    <w:rsid w:val="008F1CF9"/>
    <w:rsid w:val="008F1D4D"/>
    <w:rsid w:val="008F1EAB"/>
    <w:rsid w:val="008F203D"/>
    <w:rsid w:val="008F32C3"/>
    <w:rsid w:val="008F33DC"/>
    <w:rsid w:val="008F3989"/>
    <w:rsid w:val="008F3DA0"/>
    <w:rsid w:val="008F477F"/>
    <w:rsid w:val="008F5FF2"/>
    <w:rsid w:val="008F681B"/>
    <w:rsid w:val="008F6FD2"/>
    <w:rsid w:val="009001A6"/>
    <w:rsid w:val="00900801"/>
    <w:rsid w:val="00900AAC"/>
    <w:rsid w:val="00900F22"/>
    <w:rsid w:val="009013D1"/>
    <w:rsid w:val="00901F29"/>
    <w:rsid w:val="009020AD"/>
    <w:rsid w:val="009021F6"/>
    <w:rsid w:val="00902350"/>
    <w:rsid w:val="00902A9A"/>
    <w:rsid w:val="0090336B"/>
    <w:rsid w:val="00903A3A"/>
    <w:rsid w:val="00904510"/>
    <w:rsid w:val="009053AA"/>
    <w:rsid w:val="00906939"/>
    <w:rsid w:val="009069F6"/>
    <w:rsid w:val="009075DE"/>
    <w:rsid w:val="0091019E"/>
    <w:rsid w:val="00910B7D"/>
    <w:rsid w:val="00911503"/>
    <w:rsid w:val="00911DFB"/>
    <w:rsid w:val="009124D3"/>
    <w:rsid w:val="00912FC7"/>
    <w:rsid w:val="009139D9"/>
    <w:rsid w:val="00914178"/>
    <w:rsid w:val="00914AD8"/>
    <w:rsid w:val="009154AA"/>
    <w:rsid w:val="00915975"/>
    <w:rsid w:val="00916079"/>
    <w:rsid w:val="00916569"/>
    <w:rsid w:val="0091692E"/>
    <w:rsid w:val="00916DB7"/>
    <w:rsid w:val="00917948"/>
    <w:rsid w:val="00917CE9"/>
    <w:rsid w:val="00920A5E"/>
    <w:rsid w:val="00920BF2"/>
    <w:rsid w:val="00920E7D"/>
    <w:rsid w:val="009213F7"/>
    <w:rsid w:val="009215F7"/>
    <w:rsid w:val="0092160C"/>
    <w:rsid w:val="00921C62"/>
    <w:rsid w:val="00922010"/>
    <w:rsid w:val="0092236B"/>
    <w:rsid w:val="00922796"/>
    <w:rsid w:val="00922B0A"/>
    <w:rsid w:val="00922B4B"/>
    <w:rsid w:val="00922B9C"/>
    <w:rsid w:val="009245BB"/>
    <w:rsid w:val="00925110"/>
    <w:rsid w:val="00926602"/>
    <w:rsid w:val="009279D3"/>
    <w:rsid w:val="00927B3F"/>
    <w:rsid w:val="00930CCF"/>
    <w:rsid w:val="00930E68"/>
    <w:rsid w:val="00931148"/>
    <w:rsid w:val="0093117F"/>
    <w:rsid w:val="00931AFB"/>
    <w:rsid w:val="00931BD9"/>
    <w:rsid w:val="00932D0C"/>
    <w:rsid w:val="009335EE"/>
    <w:rsid w:val="009336BF"/>
    <w:rsid w:val="00933CC1"/>
    <w:rsid w:val="00936731"/>
    <w:rsid w:val="009368F3"/>
    <w:rsid w:val="00936EA7"/>
    <w:rsid w:val="009376C1"/>
    <w:rsid w:val="00937DFF"/>
    <w:rsid w:val="00940E12"/>
    <w:rsid w:val="009411FC"/>
    <w:rsid w:val="00941636"/>
    <w:rsid w:val="00941B38"/>
    <w:rsid w:val="00941D93"/>
    <w:rsid w:val="009424D7"/>
    <w:rsid w:val="00943742"/>
    <w:rsid w:val="00943820"/>
    <w:rsid w:val="00943A7D"/>
    <w:rsid w:val="00943CC2"/>
    <w:rsid w:val="00943D22"/>
    <w:rsid w:val="00943F86"/>
    <w:rsid w:val="00944231"/>
    <w:rsid w:val="00944BC4"/>
    <w:rsid w:val="00945497"/>
    <w:rsid w:val="009455FC"/>
    <w:rsid w:val="00945C05"/>
    <w:rsid w:val="00945C1F"/>
    <w:rsid w:val="009460AC"/>
    <w:rsid w:val="00946676"/>
    <w:rsid w:val="00946945"/>
    <w:rsid w:val="009469F8"/>
    <w:rsid w:val="009474F2"/>
    <w:rsid w:val="009476DE"/>
    <w:rsid w:val="00947713"/>
    <w:rsid w:val="00950BC2"/>
    <w:rsid w:val="00950DE7"/>
    <w:rsid w:val="00951151"/>
    <w:rsid w:val="0095209A"/>
    <w:rsid w:val="0095226F"/>
    <w:rsid w:val="00952F71"/>
    <w:rsid w:val="009533E3"/>
    <w:rsid w:val="00953454"/>
    <w:rsid w:val="00953920"/>
    <w:rsid w:val="00953D47"/>
    <w:rsid w:val="0095403A"/>
    <w:rsid w:val="00954F4F"/>
    <w:rsid w:val="00955BA3"/>
    <w:rsid w:val="0095681E"/>
    <w:rsid w:val="00956EFA"/>
    <w:rsid w:val="009572D4"/>
    <w:rsid w:val="0095766C"/>
    <w:rsid w:val="009605EB"/>
    <w:rsid w:val="00960696"/>
    <w:rsid w:val="0096139B"/>
    <w:rsid w:val="009613CD"/>
    <w:rsid w:val="009616F9"/>
    <w:rsid w:val="0096178B"/>
    <w:rsid w:val="00961921"/>
    <w:rsid w:val="00961D6E"/>
    <w:rsid w:val="00962DAC"/>
    <w:rsid w:val="00962EB9"/>
    <w:rsid w:val="00963322"/>
    <w:rsid w:val="00963438"/>
    <w:rsid w:val="0096349B"/>
    <w:rsid w:val="00963E2F"/>
    <w:rsid w:val="0096430A"/>
    <w:rsid w:val="0096554B"/>
    <w:rsid w:val="0096584A"/>
    <w:rsid w:val="0096628C"/>
    <w:rsid w:val="00966B20"/>
    <w:rsid w:val="00966FD1"/>
    <w:rsid w:val="00966FDF"/>
    <w:rsid w:val="0096725B"/>
    <w:rsid w:val="0096741E"/>
    <w:rsid w:val="00967F33"/>
    <w:rsid w:val="009706AD"/>
    <w:rsid w:val="00970A40"/>
    <w:rsid w:val="00970E55"/>
    <w:rsid w:val="0097130C"/>
    <w:rsid w:val="00971F08"/>
    <w:rsid w:val="00974723"/>
    <w:rsid w:val="00974CFE"/>
    <w:rsid w:val="00974F23"/>
    <w:rsid w:val="009759C5"/>
    <w:rsid w:val="00975C63"/>
    <w:rsid w:val="00975F00"/>
    <w:rsid w:val="0097602E"/>
    <w:rsid w:val="0097603D"/>
    <w:rsid w:val="009764B4"/>
    <w:rsid w:val="00976949"/>
    <w:rsid w:val="00976A48"/>
    <w:rsid w:val="00976C4B"/>
    <w:rsid w:val="00976F19"/>
    <w:rsid w:val="00977763"/>
    <w:rsid w:val="00977EA1"/>
    <w:rsid w:val="00980431"/>
    <w:rsid w:val="00980477"/>
    <w:rsid w:val="0098075D"/>
    <w:rsid w:val="009818B3"/>
    <w:rsid w:val="00981B5D"/>
    <w:rsid w:val="009820FD"/>
    <w:rsid w:val="00982E8E"/>
    <w:rsid w:val="009834A9"/>
    <w:rsid w:val="00983B4E"/>
    <w:rsid w:val="0098420B"/>
    <w:rsid w:val="00984B75"/>
    <w:rsid w:val="00984D3E"/>
    <w:rsid w:val="009851A6"/>
    <w:rsid w:val="00985253"/>
    <w:rsid w:val="009853B3"/>
    <w:rsid w:val="009857C7"/>
    <w:rsid w:val="00986322"/>
    <w:rsid w:val="00986A07"/>
    <w:rsid w:val="00986F9F"/>
    <w:rsid w:val="009872A9"/>
    <w:rsid w:val="0098796A"/>
    <w:rsid w:val="00987D72"/>
    <w:rsid w:val="009902EF"/>
    <w:rsid w:val="009904BB"/>
    <w:rsid w:val="00990630"/>
    <w:rsid w:val="00991007"/>
    <w:rsid w:val="00991605"/>
    <w:rsid w:val="00991761"/>
    <w:rsid w:val="00991870"/>
    <w:rsid w:val="00991ADE"/>
    <w:rsid w:val="00991BE8"/>
    <w:rsid w:val="009924E3"/>
    <w:rsid w:val="00992516"/>
    <w:rsid w:val="0099299D"/>
    <w:rsid w:val="009929BE"/>
    <w:rsid w:val="00993049"/>
    <w:rsid w:val="009931A8"/>
    <w:rsid w:val="0099487F"/>
    <w:rsid w:val="00994DCA"/>
    <w:rsid w:val="00995DBD"/>
    <w:rsid w:val="009960EC"/>
    <w:rsid w:val="0099637F"/>
    <w:rsid w:val="00996B44"/>
    <w:rsid w:val="00996D62"/>
    <w:rsid w:val="00996ED7"/>
    <w:rsid w:val="009970CC"/>
    <w:rsid w:val="009970DD"/>
    <w:rsid w:val="009977B1"/>
    <w:rsid w:val="00997ADB"/>
    <w:rsid w:val="00997BF9"/>
    <w:rsid w:val="009A0442"/>
    <w:rsid w:val="009A0927"/>
    <w:rsid w:val="009A0FBA"/>
    <w:rsid w:val="009A13E6"/>
    <w:rsid w:val="009A153C"/>
    <w:rsid w:val="009A1601"/>
    <w:rsid w:val="009A22E1"/>
    <w:rsid w:val="009A2DBD"/>
    <w:rsid w:val="009A3285"/>
    <w:rsid w:val="009A34A1"/>
    <w:rsid w:val="009A38E7"/>
    <w:rsid w:val="009A462D"/>
    <w:rsid w:val="009A4A8E"/>
    <w:rsid w:val="009A4AD1"/>
    <w:rsid w:val="009A5124"/>
    <w:rsid w:val="009A524B"/>
    <w:rsid w:val="009A5566"/>
    <w:rsid w:val="009A5737"/>
    <w:rsid w:val="009A5CBA"/>
    <w:rsid w:val="009A6511"/>
    <w:rsid w:val="009A6BCF"/>
    <w:rsid w:val="009A7567"/>
    <w:rsid w:val="009B064B"/>
    <w:rsid w:val="009B0B48"/>
    <w:rsid w:val="009B0C1D"/>
    <w:rsid w:val="009B0E46"/>
    <w:rsid w:val="009B1D7F"/>
    <w:rsid w:val="009B1F30"/>
    <w:rsid w:val="009B2F4F"/>
    <w:rsid w:val="009B3757"/>
    <w:rsid w:val="009B3AC2"/>
    <w:rsid w:val="009B43DF"/>
    <w:rsid w:val="009B47A1"/>
    <w:rsid w:val="009B4DF4"/>
    <w:rsid w:val="009B511E"/>
    <w:rsid w:val="009B5283"/>
    <w:rsid w:val="009B535B"/>
    <w:rsid w:val="009B564E"/>
    <w:rsid w:val="009B5B37"/>
    <w:rsid w:val="009B655E"/>
    <w:rsid w:val="009B7276"/>
    <w:rsid w:val="009B7E87"/>
    <w:rsid w:val="009C01C0"/>
    <w:rsid w:val="009C04BA"/>
    <w:rsid w:val="009C053F"/>
    <w:rsid w:val="009C0798"/>
    <w:rsid w:val="009C0B53"/>
    <w:rsid w:val="009C1312"/>
    <w:rsid w:val="009C1399"/>
    <w:rsid w:val="009C148B"/>
    <w:rsid w:val="009C1FEB"/>
    <w:rsid w:val="009C2545"/>
    <w:rsid w:val="009C25ED"/>
    <w:rsid w:val="009C3102"/>
    <w:rsid w:val="009C3148"/>
    <w:rsid w:val="009C3480"/>
    <w:rsid w:val="009C403E"/>
    <w:rsid w:val="009C461B"/>
    <w:rsid w:val="009C491D"/>
    <w:rsid w:val="009C4D4C"/>
    <w:rsid w:val="009C5296"/>
    <w:rsid w:val="009C5A97"/>
    <w:rsid w:val="009C5E38"/>
    <w:rsid w:val="009C6D92"/>
    <w:rsid w:val="009C7790"/>
    <w:rsid w:val="009C79A4"/>
    <w:rsid w:val="009C7A5B"/>
    <w:rsid w:val="009C7EF7"/>
    <w:rsid w:val="009D038A"/>
    <w:rsid w:val="009D0B6D"/>
    <w:rsid w:val="009D0FEC"/>
    <w:rsid w:val="009D189F"/>
    <w:rsid w:val="009D1A0A"/>
    <w:rsid w:val="009D1E0C"/>
    <w:rsid w:val="009D22A0"/>
    <w:rsid w:val="009D249B"/>
    <w:rsid w:val="009D267B"/>
    <w:rsid w:val="009D318D"/>
    <w:rsid w:val="009D326D"/>
    <w:rsid w:val="009D389D"/>
    <w:rsid w:val="009D45B9"/>
    <w:rsid w:val="009D4E0A"/>
    <w:rsid w:val="009D4EED"/>
    <w:rsid w:val="009D4FF0"/>
    <w:rsid w:val="009D5CE6"/>
    <w:rsid w:val="009D66B1"/>
    <w:rsid w:val="009D671A"/>
    <w:rsid w:val="009D69BE"/>
    <w:rsid w:val="009D703C"/>
    <w:rsid w:val="009D718F"/>
    <w:rsid w:val="009D7848"/>
    <w:rsid w:val="009D7D43"/>
    <w:rsid w:val="009D7FB5"/>
    <w:rsid w:val="009E068F"/>
    <w:rsid w:val="009E0901"/>
    <w:rsid w:val="009E0F56"/>
    <w:rsid w:val="009E14E0"/>
    <w:rsid w:val="009E1517"/>
    <w:rsid w:val="009E16FF"/>
    <w:rsid w:val="009E1CA5"/>
    <w:rsid w:val="009E2C51"/>
    <w:rsid w:val="009E3017"/>
    <w:rsid w:val="009E317A"/>
    <w:rsid w:val="009E35DB"/>
    <w:rsid w:val="009E3781"/>
    <w:rsid w:val="009E3799"/>
    <w:rsid w:val="009E4342"/>
    <w:rsid w:val="009E47A3"/>
    <w:rsid w:val="009E4897"/>
    <w:rsid w:val="009E4B86"/>
    <w:rsid w:val="009E54B2"/>
    <w:rsid w:val="009E55B1"/>
    <w:rsid w:val="009E61F3"/>
    <w:rsid w:val="009E78E7"/>
    <w:rsid w:val="009E7E2D"/>
    <w:rsid w:val="009F08F3"/>
    <w:rsid w:val="009F0EBC"/>
    <w:rsid w:val="009F0F28"/>
    <w:rsid w:val="009F1A60"/>
    <w:rsid w:val="009F2069"/>
    <w:rsid w:val="009F2CBD"/>
    <w:rsid w:val="009F344F"/>
    <w:rsid w:val="009F390C"/>
    <w:rsid w:val="009F427D"/>
    <w:rsid w:val="009F4B63"/>
    <w:rsid w:val="009F5E13"/>
    <w:rsid w:val="009F5E2F"/>
    <w:rsid w:val="009F5EAE"/>
    <w:rsid w:val="009F7114"/>
    <w:rsid w:val="009F7437"/>
    <w:rsid w:val="00A00D13"/>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DCF"/>
    <w:rsid w:val="00A06FA2"/>
    <w:rsid w:val="00A1051C"/>
    <w:rsid w:val="00A1094B"/>
    <w:rsid w:val="00A10999"/>
    <w:rsid w:val="00A1106B"/>
    <w:rsid w:val="00A113F6"/>
    <w:rsid w:val="00A11AE0"/>
    <w:rsid w:val="00A12C38"/>
    <w:rsid w:val="00A13036"/>
    <w:rsid w:val="00A13E54"/>
    <w:rsid w:val="00A14582"/>
    <w:rsid w:val="00A14B72"/>
    <w:rsid w:val="00A14BA4"/>
    <w:rsid w:val="00A14F4E"/>
    <w:rsid w:val="00A15C12"/>
    <w:rsid w:val="00A1673D"/>
    <w:rsid w:val="00A16AF3"/>
    <w:rsid w:val="00A16CCA"/>
    <w:rsid w:val="00A171D3"/>
    <w:rsid w:val="00A17EBF"/>
    <w:rsid w:val="00A17F63"/>
    <w:rsid w:val="00A20373"/>
    <w:rsid w:val="00A20379"/>
    <w:rsid w:val="00A20E07"/>
    <w:rsid w:val="00A21369"/>
    <w:rsid w:val="00A2193B"/>
    <w:rsid w:val="00A220C5"/>
    <w:rsid w:val="00A2279A"/>
    <w:rsid w:val="00A23156"/>
    <w:rsid w:val="00A2351A"/>
    <w:rsid w:val="00A23801"/>
    <w:rsid w:val="00A23F02"/>
    <w:rsid w:val="00A23FCF"/>
    <w:rsid w:val="00A241CC"/>
    <w:rsid w:val="00A2474B"/>
    <w:rsid w:val="00A24A46"/>
    <w:rsid w:val="00A24A70"/>
    <w:rsid w:val="00A24C36"/>
    <w:rsid w:val="00A25290"/>
    <w:rsid w:val="00A256F8"/>
    <w:rsid w:val="00A25C63"/>
    <w:rsid w:val="00A260E5"/>
    <w:rsid w:val="00A26473"/>
    <w:rsid w:val="00A264A9"/>
    <w:rsid w:val="00A26879"/>
    <w:rsid w:val="00A268DF"/>
    <w:rsid w:val="00A26D56"/>
    <w:rsid w:val="00A27350"/>
    <w:rsid w:val="00A27785"/>
    <w:rsid w:val="00A27829"/>
    <w:rsid w:val="00A30187"/>
    <w:rsid w:val="00A304D1"/>
    <w:rsid w:val="00A30775"/>
    <w:rsid w:val="00A30D80"/>
    <w:rsid w:val="00A3175E"/>
    <w:rsid w:val="00A32084"/>
    <w:rsid w:val="00A3243E"/>
    <w:rsid w:val="00A32CF3"/>
    <w:rsid w:val="00A3448A"/>
    <w:rsid w:val="00A345C0"/>
    <w:rsid w:val="00A35AE2"/>
    <w:rsid w:val="00A36297"/>
    <w:rsid w:val="00A365D2"/>
    <w:rsid w:val="00A3720D"/>
    <w:rsid w:val="00A37380"/>
    <w:rsid w:val="00A375C1"/>
    <w:rsid w:val="00A37E42"/>
    <w:rsid w:val="00A400CD"/>
    <w:rsid w:val="00A4151F"/>
    <w:rsid w:val="00A41966"/>
    <w:rsid w:val="00A41B9C"/>
    <w:rsid w:val="00A41E2B"/>
    <w:rsid w:val="00A4224F"/>
    <w:rsid w:val="00A42616"/>
    <w:rsid w:val="00A43184"/>
    <w:rsid w:val="00A4354D"/>
    <w:rsid w:val="00A436F3"/>
    <w:rsid w:val="00A43A6F"/>
    <w:rsid w:val="00A4478E"/>
    <w:rsid w:val="00A44A9C"/>
    <w:rsid w:val="00A45639"/>
    <w:rsid w:val="00A45B74"/>
    <w:rsid w:val="00A45C97"/>
    <w:rsid w:val="00A47931"/>
    <w:rsid w:val="00A5014C"/>
    <w:rsid w:val="00A50307"/>
    <w:rsid w:val="00A5094F"/>
    <w:rsid w:val="00A50986"/>
    <w:rsid w:val="00A50D8F"/>
    <w:rsid w:val="00A50F47"/>
    <w:rsid w:val="00A51E0C"/>
    <w:rsid w:val="00A52210"/>
    <w:rsid w:val="00A5266E"/>
    <w:rsid w:val="00A52C03"/>
    <w:rsid w:val="00A52DB3"/>
    <w:rsid w:val="00A52E1D"/>
    <w:rsid w:val="00A5358E"/>
    <w:rsid w:val="00A53BD7"/>
    <w:rsid w:val="00A54279"/>
    <w:rsid w:val="00A54432"/>
    <w:rsid w:val="00A54D8D"/>
    <w:rsid w:val="00A55B22"/>
    <w:rsid w:val="00A55B28"/>
    <w:rsid w:val="00A5629A"/>
    <w:rsid w:val="00A56798"/>
    <w:rsid w:val="00A56FE3"/>
    <w:rsid w:val="00A57977"/>
    <w:rsid w:val="00A60896"/>
    <w:rsid w:val="00A609F0"/>
    <w:rsid w:val="00A60B8E"/>
    <w:rsid w:val="00A61499"/>
    <w:rsid w:val="00A614AE"/>
    <w:rsid w:val="00A623AD"/>
    <w:rsid w:val="00A62561"/>
    <w:rsid w:val="00A62A77"/>
    <w:rsid w:val="00A62A8F"/>
    <w:rsid w:val="00A62DD4"/>
    <w:rsid w:val="00A63483"/>
    <w:rsid w:val="00A634A9"/>
    <w:rsid w:val="00A63BEA"/>
    <w:rsid w:val="00A644CA"/>
    <w:rsid w:val="00A64A69"/>
    <w:rsid w:val="00A6529E"/>
    <w:rsid w:val="00A6576F"/>
    <w:rsid w:val="00A657D7"/>
    <w:rsid w:val="00A65CE1"/>
    <w:rsid w:val="00A65E06"/>
    <w:rsid w:val="00A660AC"/>
    <w:rsid w:val="00A6687C"/>
    <w:rsid w:val="00A6760C"/>
    <w:rsid w:val="00A67E6C"/>
    <w:rsid w:val="00A67FB1"/>
    <w:rsid w:val="00A704DA"/>
    <w:rsid w:val="00A71033"/>
    <w:rsid w:val="00A71150"/>
    <w:rsid w:val="00A7194D"/>
    <w:rsid w:val="00A71B99"/>
    <w:rsid w:val="00A71C1B"/>
    <w:rsid w:val="00A71F88"/>
    <w:rsid w:val="00A71FBE"/>
    <w:rsid w:val="00A72CAF"/>
    <w:rsid w:val="00A730C4"/>
    <w:rsid w:val="00A733D2"/>
    <w:rsid w:val="00A739D0"/>
    <w:rsid w:val="00A73A0D"/>
    <w:rsid w:val="00A73B9B"/>
    <w:rsid w:val="00A75D39"/>
    <w:rsid w:val="00A761D4"/>
    <w:rsid w:val="00A76DBB"/>
    <w:rsid w:val="00A7706C"/>
    <w:rsid w:val="00A77EC4"/>
    <w:rsid w:val="00A80575"/>
    <w:rsid w:val="00A805CE"/>
    <w:rsid w:val="00A80AC7"/>
    <w:rsid w:val="00A81256"/>
    <w:rsid w:val="00A81F82"/>
    <w:rsid w:val="00A82E35"/>
    <w:rsid w:val="00A831A8"/>
    <w:rsid w:val="00A8368E"/>
    <w:rsid w:val="00A85075"/>
    <w:rsid w:val="00A85AAC"/>
    <w:rsid w:val="00A862D4"/>
    <w:rsid w:val="00A87256"/>
    <w:rsid w:val="00A879F2"/>
    <w:rsid w:val="00A90CFA"/>
    <w:rsid w:val="00A910A2"/>
    <w:rsid w:val="00A91516"/>
    <w:rsid w:val="00A9170B"/>
    <w:rsid w:val="00A91F1F"/>
    <w:rsid w:val="00A924A6"/>
    <w:rsid w:val="00A92879"/>
    <w:rsid w:val="00A93357"/>
    <w:rsid w:val="00A93E4E"/>
    <w:rsid w:val="00A9442A"/>
    <w:rsid w:val="00A94B28"/>
    <w:rsid w:val="00A94B9D"/>
    <w:rsid w:val="00A951DB"/>
    <w:rsid w:val="00A952DB"/>
    <w:rsid w:val="00A956B7"/>
    <w:rsid w:val="00A956F8"/>
    <w:rsid w:val="00A95963"/>
    <w:rsid w:val="00A95CD7"/>
    <w:rsid w:val="00A97C97"/>
    <w:rsid w:val="00A97F16"/>
    <w:rsid w:val="00AA016F"/>
    <w:rsid w:val="00AA0496"/>
    <w:rsid w:val="00AA0F66"/>
    <w:rsid w:val="00AA0FCD"/>
    <w:rsid w:val="00AA16A7"/>
    <w:rsid w:val="00AA1A9D"/>
    <w:rsid w:val="00AA1ED6"/>
    <w:rsid w:val="00AA20D0"/>
    <w:rsid w:val="00AA2C82"/>
    <w:rsid w:val="00AA330A"/>
    <w:rsid w:val="00AA33C1"/>
    <w:rsid w:val="00AA361D"/>
    <w:rsid w:val="00AA421D"/>
    <w:rsid w:val="00AA43F2"/>
    <w:rsid w:val="00AA51D6"/>
    <w:rsid w:val="00AA5A4B"/>
    <w:rsid w:val="00AB01D2"/>
    <w:rsid w:val="00AB028A"/>
    <w:rsid w:val="00AB03C6"/>
    <w:rsid w:val="00AB08B1"/>
    <w:rsid w:val="00AB0BC8"/>
    <w:rsid w:val="00AB0DE4"/>
    <w:rsid w:val="00AB11CA"/>
    <w:rsid w:val="00AB1303"/>
    <w:rsid w:val="00AB14D9"/>
    <w:rsid w:val="00AB1F9E"/>
    <w:rsid w:val="00AB2F6B"/>
    <w:rsid w:val="00AB34CD"/>
    <w:rsid w:val="00AB3938"/>
    <w:rsid w:val="00AB3A48"/>
    <w:rsid w:val="00AB3F33"/>
    <w:rsid w:val="00AB4AB8"/>
    <w:rsid w:val="00AB4AF9"/>
    <w:rsid w:val="00AB61E3"/>
    <w:rsid w:val="00AB655E"/>
    <w:rsid w:val="00AB7BB9"/>
    <w:rsid w:val="00AC007F"/>
    <w:rsid w:val="00AC08AA"/>
    <w:rsid w:val="00AC0A93"/>
    <w:rsid w:val="00AC0C93"/>
    <w:rsid w:val="00AC0FF8"/>
    <w:rsid w:val="00AC1C05"/>
    <w:rsid w:val="00AC2A81"/>
    <w:rsid w:val="00AC2ECD"/>
    <w:rsid w:val="00AC3119"/>
    <w:rsid w:val="00AC372C"/>
    <w:rsid w:val="00AC3D10"/>
    <w:rsid w:val="00AC4143"/>
    <w:rsid w:val="00AC49FB"/>
    <w:rsid w:val="00AC4BBF"/>
    <w:rsid w:val="00AC514F"/>
    <w:rsid w:val="00AC550F"/>
    <w:rsid w:val="00AC5A10"/>
    <w:rsid w:val="00AC675A"/>
    <w:rsid w:val="00AC681E"/>
    <w:rsid w:val="00AC6CC7"/>
    <w:rsid w:val="00AC733C"/>
    <w:rsid w:val="00AC7B22"/>
    <w:rsid w:val="00AD00BB"/>
    <w:rsid w:val="00AD0AA3"/>
    <w:rsid w:val="00AD122E"/>
    <w:rsid w:val="00AD20C4"/>
    <w:rsid w:val="00AD22F9"/>
    <w:rsid w:val="00AD236B"/>
    <w:rsid w:val="00AD2894"/>
    <w:rsid w:val="00AD2C54"/>
    <w:rsid w:val="00AD30AA"/>
    <w:rsid w:val="00AD3246"/>
    <w:rsid w:val="00AD3F94"/>
    <w:rsid w:val="00AD495C"/>
    <w:rsid w:val="00AD4A5A"/>
    <w:rsid w:val="00AD51ED"/>
    <w:rsid w:val="00AD58C1"/>
    <w:rsid w:val="00AD59E2"/>
    <w:rsid w:val="00AD5F22"/>
    <w:rsid w:val="00AD62BC"/>
    <w:rsid w:val="00AD6629"/>
    <w:rsid w:val="00AD6C3C"/>
    <w:rsid w:val="00AD71EA"/>
    <w:rsid w:val="00AD7C52"/>
    <w:rsid w:val="00AE0470"/>
    <w:rsid w:val="00AE07E6"/>
    <w:rsid w:val="00AE098D"/>
    <w:rsid w:val="00AE0B14"/>
    <w:rsid w:val="00AE0C21"/>
    <w:rsid w:val="00AE23EE"/>
    <w:rsid w:val="00AE2540"/>
    <w:rsid w:val="00AE27AC"/>
    <w:rsid w:val="00AE33F2"/>
    <w:rsid w:val="00AE3981"/>
    <w:rsid w:val="00AE3A55"/>
    <w:rsid w:val="00AE3BE3"/>
    <w:rsid w:val="00AE3CC3"/>
    <w:rsid w:val="00AE3E93"/>
    <w:rsid w:val="00AE40E0"/>
    <w:rsid w:val="00AE4D2F"/>
    <w:rsid w:val="00AE4DBA"/>
    <w:rsid w:val="00AE4F07"/>
    <w:rsid w:val="00AE57B5"/>
    <w:rsid w:val="00AE6E02"/>
    <w:rsid w:val="00AE743A"/>
    <w:rsid w:val="00AF08CA"/>
    <w:rsid w:val="00AF1C5D"/>
    <w:rsid w:val="00AF1CCC"/>
    <w:rsid w:val="00AF25D5"/>
    <w:rsid w:val="00AF2DE7"/>
    <w:rsid w:val="00AF2F96"/>
    <w:rsid w:val="00AF31FA"/>
    <w:rsid w:val="00AF345A"/>
    <w:rsid w:val="00AF3629"/>
    <w:rsid w:val="00AF3740"/>
    <w:rsid w:val="00AF3AF2"/>
    <w:rsid w:val="00AF3D10"/>
    <w:rsid w:val="00AF42D7"/>
    <w:rsid w:val="00AF4406"/>
    <w:rsid w:val="00AF4523"/>
    <w:rsid w:val="00AF4759"/>
    <w:rsid w:val="00AF482C"/>
    <w:rsid w:val="00AF5AEF"/>
    <w:rsid w:val="00AF5D3C"/>
    <w:rsid w:val="00AF5E19"/>
    <w:rsid w:val="00AF6371"/>
    <w:rsid w:val="00AF66E7"/>
    <w:rsid w:val="00AF6A8B"/>
    <w:rsid w:val="00AF6FDE"/>
    <w:rsid w:val="00AF7121"/>
    <w:rsid w:val="00AF792E"/>
    <w:rsid w:val="00B006FE"/>
    <w:rsid w:val="00B007CB"/>
    <w:rsid w:val="00B00BAA"/>
    <w:rsid w:val="00B025D7"/>
    <w:rsid w:val="00B02AA9"/>
    <w:rsid w:val="00B02B82"/>
    <w:rsid w:val="00B02FA3"/>
    <w:rsid w:val="00B03429"/>
    <w:rsid w:val="00B047FD"/>
    <w:rsid w:val="00B04DD2"/>
    <w:rsid w:val="00B04E96"/>
    <w:rsid w:val="00B05084"/>
    <w:rsid w:val="00B051D7"/>
    <w:rsid w:val="00B05596"/>
    <w:rsid w:val="00B0592F"/>
    <w:rsid w:val="00B05BDA"/>
    <w:rsid w:val="00B05E95"/>
    <w:rsid w:val="00B0737B"/>
    <w:rsid w:val="00B07961"/>
    <w:rsid w:val="00B07EBA"/>
    <w:rsid w:val="00B100B9"/>
    <w:rsid w:val="00B1052A"/>
    <w:rsid w:val="00B105F6"/>
    <w:rsid w:val="00B125F7"/>
    <w:rsid w:val="00B139E0"/>
    <w:rsid w:val="00B13E74"/>
    <w:rsid w:val="00B152F4"/>
    <w:rsid w:val="00B1542D"/>
    <w:rsid w:val="00B157F9"/>
    <w:rsid w:val="00B15F66"/>
    <w:rsid w:val="00B16272"/>
    <w:rsid w:val="00B16606"/>
    <w:rsid w:val="00B1677C"/>
    <w:rsid w:val="00B167F1"/>
    <w:rsid w:val="00B16FFF"/>
    <w:rsid w:val="00B17033"/>
    <w:rsid w:val="00B17436"/>
    <w:rsid w:val="00B17511"/>
    <w:rsid w:val="00B176C4"/>
    <w:rsid w:val="00B17B83"/>
    <w:rsid w:val="00B20256"/>
    <w:rsid w:val="00B2074F"/>
    <w:rsid w:val="00B2097E"/>
    <w:rsid w:val="00B20D09"/>
    <w:rsid w:val="00B2133E"/>
    <w:rsid w:val="00B219D1"/>
    <w:rsid w:val="00B21DEF"/>
    <w:rsid w:val="00B22A95"/>
    <w:rsid w:val="00B22AC0"/>
    <w:rsid w:val="00B22FCA"/>
    <w:rsid w:val="00B23230"/>
    <w:rsid w:val="00B237B9"/>
    <w:rsid w:val="00B23AE8"/>
    <w:rsid w:val="00B23CC2"/>
    <w:rsid w:val="00B24A9A"/>
    <w:rsid w:val="00B25210"/>
    <w:rsid w:val="00B2712A"/>
    <w:rsid w:val="00B2763F"/>
    <w:rsid w:val="00B27853"/>
    <w:rsid w:val="00B27AAC"/>
    <w:rsid w:val="00B302FA"/>
    <w:rsid w:val="00B30929"/>
    <w:rsid w:val="00B313B4"/>
    <w:rsid w:val="00B31FE9"/>
    <w:rsid w:val="00B32176"/>
    <w:rsid w:val="00B32B61"/>
    <w:rsid w:val="00B32E9F"/>
    <w:rsid w:val="00B338BE"/>
    <w:rsid w:val="00B33EE9"/>
    <w:rsid w:val="00B342C7"/>
    <w:rsid w:val="00B34FA1"/>
    <w:rsid w:val="00B35131"/>
    <w:rsid w:val="00B3594E"/>
    <w:rsid w:val="00B35A60"/>
    <w:rsid w:val="00B35B96"/>
    <w:rsid w:val="00B35BEB"/>
    <w:rsid w:val="00B361F4"/>
    <w:rsid w:val="00B363DE"/>
    <w:rsid w:val="00B3720E"/>
    <w:rsid w:val="00B372AA"/>
    <w:rsid w:val="00B37351"/>
    <w:rsid w:val="00B3740C"/>
    <w:rsid w:val="00B37BC6"/>
    <w:rsid w:val="00B40432"/>
    <w:rsid w:val="00B40445"/>
    <w:rsid w:val="00B40474"/>
    <w:rsid w:val="00B40BA1"/>
    <w:rsid w:val="00B40CB3"/>
    <w:rsid w:val="00B41888"/>
    <w:rsid w:val="00B423F9"/>
    <w:rsid w:val="00B42655"/>
    <w:rsid w:val="00B4297F"/>
    <w:rsid w:val="00B42AE4"/>
    <w:rsid w:val="00B4332C"/>
    <w:rsid w:val="00B44118"/>
    <w:rsid w:val="00B446E9"/>
    <w:rsid w:val="00B44A91"/>
    <w:rsid w:val="00B45A52"/>
    <w:rsid w:val="00B45AF9"/>
    <w:rsid w:val="00B45BEF"/>
    <w:rsid w:val="00B46175"/>
    <w:rsid w:val="00B4670C"/>
    <w:rsid w:val="00B46AD4"/>
    <w:rsid w:val="00B46E76"/>
    <w:rsid w:val="00B4744D"/>
    <w:rsid w:val="00B47515"/>
    <w:rsid w:val="00B47BEE"/>
    <w:rsid w:val="00B47EDA"/>
    <w:rsid w:val="00B50B57"/>
    <w:rsid w:val="00B50C4B"/>
    <w:rsid w:val="00B51602"/>
    <w:rsid w:val="00B51FEE"/>
    <w:rsid w:val="00B52A53"/>
    <w:rsid w:val="00B52A99"/>
    <w:rsid w:val="00B52D7F"/>
    <w:rsid w:val="00B533B6"/>
    <w:rsid w:val="00B53ED8"/>
    <w:rsid w:val="00B54FC5"/>
    <w:rsid w:val="00B553A8"/>
    <w:rsid w:val="00B567ED"/>
    <w:rsid w:val="00B56916"/>
    <w:rsid w:val="00B571BA"/>
    <w:rsid w:val="00B5776E"/>
    <w:rsid w:val="00B57A09"/>
    <w:rsid w:val="00B57A22"/>
    <w:rsid w:val="00B57F58"/>
    <w:rsid w:val="00B6021E"/>
    <w:rsid w:val="00B603CD"/>
    <w:rsid w:val="00B604C1"/>
    <w:rsid w:val="00B60F10"/>
    <w:rsid w:val="00B61000"/>
    <w:rsid w:val="00B626E7"/>
    <w:rsid w:val="00B62AAA"/>
    <w:rsid w:val="00B62B11"/>
    <w:rsid w:val="00B63534"/>
    <w:rsid w:val="00B6366E"/>
    <w:rsid w:val="00B64259"/>
    <w:rsid w:val="00B6553E"/>
    <w:rsid w:val="00B658B9"/>
    <w:rsid w:val="00B659E4"/>
    <w:rsid w:val="00B66345"/>
    <w:rsid w:val="00B664C7"/>
    <w:rsid w:val="00B669B8"/>
    <w:rsid w:val="00B704B6"/>
    <w:rsid w:val="00B70733"/>
    <w:rsid w:val="00B716B4"/>
    <w:rsid w:val="00B7328B"/>
    <w:rsid w:val="00B739F6"/>
    <w:rsid w:val="00B74D07"/>
    <w:rsid w:val="00B75C40"/>
    <w:rsid w:val="00B75D28"/>
    <w:rsid w:val="00B768FE"/>
    <w:rsid w:val="00B76AE7"/>
    <w:rsid w:val="00B76EFA"/>
    <w:rsid w:val="00B77A05"/>
    <w:rsid w:val="00B77A81"/>
    <w:rsid w:val="00B77CEA"/>
    <w:rsid w:val="00B77D15"/>
    <w:rsid w:val="00B77EC9"/>
    <w:rsid w:val="00B80475"/>
    <w:rsid w:val="00B81A6C"/>
    <w:rsid w:val="00B81AD8"/>
    <w:rsid w:val="00B82151"/>
    <w:rsid w:val="00B82BEB"/>
    <w:rsid w:val="00B83698"/>
    <w:rsid w:val="00B844A0"/>
    <w:rsid w:val="00B84708"/>
    <w:rsid w:val="00B855E5"/>
    <w:rsid w:val="00B856F3"/>
    <w:rsid w:val="00B85883"/>
    <w:rsid w:val="00B85AAC"/>
    <w:rsid w:val="00B85DE5"/>
    <w:rsid w:val="00B8681D"/>
    <w:rsid w:val="00B86B54"/>
    <w:rsid w:val="00B86D1E"/>
    <w:rsid w:val="00B870F5"/>
    <w:rsid w:val="00B90031"/>
    <w:rsid w:val="00B906C8"/>
    <w:rsid w:val="00B90739"/>
    <w:rsid w:val="00B90F73"/>
    <w:rsid w:val="00B91DE3"/>
    <w:rsid w:val="00B923B3"/>
    <w:rsid w:val="00B92526"/>
    <w:rsid w:val="00B9279F"/>
    <w:rsid w:val="00B929B7"/>
    <w:rsid w:val="00B92C63"/>
    <w:rsid w:val="00B92DAF"/>
    <w:rsid w:val="00B92EDB"/>
    <w:rsid w:val="00B92F19"/>
    <w:rsid w:val="00B93427"/>
    <w:rsid w:val="00B93B55"/>
    <w:rsid w:val="00B93B59"/>
    <w:rsid w:val="00B9406A"/>
    <w:rsid w:val="00B94E68"/>
    <w:rsid w:val="00B951DC"/>
    <w:rsid w:val="00B9530B"/>
    <w:rsid w:val="00B95D98"/>
    <w:rsid w:val="00B964AB"/>
    <w:rsid w:val="00B96A62"/>
    <w:rsid w:val="00B973B9"/>
    <w:rsid w:val="00B97945"/>
    <w:rsid w:val="00B97F52"/>
    <w:rsid w:val="00BA15AA"/>
    <w:rsid w:val="00BA1641"/>
    <w:rsid w:val="00BA1C25"/>
    <w:rsid w:val="00BA1F59"/>
    <w:rsid w:val="00BA2280"/>
    <w:rsid w:val="00BA2A08"/>
    <w:rsid w:val="00BA34C0"/>
    <w:rsid w:val="00BA3F6C"/>
    <w:rsid w:val="00BA47B3"/>
    <w:rsid w:val="00BA49CB"/>
    <w:rsid w:val="00BA4AAB"/>
    <w:rsid w:val="00BA4F1E"/>
    <w:rsid w:val="00BA56D2"/>
    <w:rsid w:val="00BA592D"/>
    <w:rsid w:val="00BA67D4"/>
    <w:rsid w:val="00BA76E0"/>
    <w:rsid w:val="00BA7B78"/>
    <w:rsid w:val="00BB026C"/>
    <w:rsid w:val="00BB0D37"/>
    <w:rsid w:val="00BB14C4"/>
    <w:rsid w:val="00BB2A25"/>
    <w:rsid w:val="00BB332C"/>
    <w:rsid w:val="00BB34B4"/>
    <w:rsid w:val="00BB36D4"/>
    <w:rsid w:val="00BB4495"/>
    <w:rsid w:val="00BB46FF"/>
    <w:rsid w:val="00BB51E9"/>
    <w:rsid w:val="00BB52BF"/>
    <w:rsid w:val="00BB534C"/>
    <w:rsid w:val="00BB57EF"/>
    <w:rsid w:val="00BB749A"/>
    <w:rsid w:val="00BC0B77"/>
    <w:rsid w:val="00BC0D49"/>
    <w:rsid w:val="00BC0FDC"/>
    <w:rsid w:val="00BC1082"/>
    <w:rsid w:val="00BC16D9"/>
    <w:rsid w:val="00BC1D4A"/>
    <w:rsid w:val="00BC1F30"/>
    <w:rsid w:val="00BC24C0"/>
    <w:rsid w:val="00BC25AA"/>
    <w:rsid w:val="00BC2677"/>
    <w:rsid w:val="00BC3053"/>
    <w:rsid w:val="00BC3FAD"/>
    <w:rsid w:val="00BC40B6"/>
    <w:rsid w:val="00BC44DE"/>
    <w:rsid w:val="00BC4D2E"/>
    <w:rsid w:val="00BC57B1"/>
    <w:rsid w:val="00BC5D1C"/>
    <w:rsid w:val="00BC6A41"/>
    <w:rsid w:val="00BC6BB5"/>
    <w:rsid w:val="00BC6BC1"/>
    <w:rsid w:val="00BC6F3D"/>
    <w:rsid w:val="00BC7044"/>
    <w:rsid w:val="00BD1169"/>
    <w:rsid w:val="00BD1823"/>
    <w:rsid w:val="00BD18B8"/>
    <w:rsid w:val="00BD1AA5"/>
    <w:rsid w:val="00BD27AF"/>
    <w:rsid w:val="00BD3883"/>
    <w:rsid w:val="00BD48AC"/>
    <w:rsid w:val="00BD4CDD"/>
    <w:rsid w:val="00BD4FA5"/>
    <w:rsid w:val="00BD5E37"/>
    <w:rsid w:val="00BD5F1A"/>
    <w:rsid w:val="00BD619F"/>
    <w:rsid w:val="00BD721C"/>
    <w:rsid w:val="00BD7A8B"/>
    <w:rsid w:val="00BD7F16"/>
    <w:rsid w:val="00BE0841"/>
    <w:rsid w:val="00BE0B97"/>
    <w:rsid w:val="00BE0BF1"/>
    <w:rsid w:val="00BE0C2D"/>
    <w:rsid w:val="00BE1234"/>
    <w:rsid w:val="00BE191B"/>
    <w:rsid w:val="00BE1E63"/>
    <w:rsid w:val="00BE1FD4"/>
    <w:rsid w:val="00BE2FA6"/>
    <w:rsid w:val="00BE333F"/>
    <w:rsid w:val="00BE38DC"/>
    <w:rsid w:val="00BE3DB9"/>
    <w:rsid w:val="00BE3F9C"/>
    <w:rsid w:val="00BE45B3"/>
    <w:rsid w:val="00BE4818"/>
    <w:rsid w:val="00BE5A09"/>
    <w:rsid w:val="00BE5A2F"/>
    <w:rsid w:val="00BE5EAE"/>
    <w:rsid w:val="00BE622F"/>
    <w:rsid w:val="00BE6453"/>
    <w:rsid w:val="00BE7406"/>
    <w:rsid w:val="00BE757B"/>
    <w:rsid w:val="00BE7603"/>
    <w:rsid w:val="00BF0151"/>
    <w:rsid w:val="00BF05F6"/>
    <w:rsid w:val="00BF0A13"/>
    <w:rsid w:val="00BF0A54"/>
    <w:rsid w:val="00BF0B67"/>
    <w:rsid w:val="00BF0FA3"/>
    <w:rsid w:val="00BF13E9"/>
    <w:rsid w:val="00BF1B6B"/>
    <w:rsid w:val="00BF1D89"/>
    <w:rsid w:val="00BF26D4"/>
    <w:rsid w:val="00BF2925"/>
    <w:rsid w:val="00BF3077"/>
    <w:rsid w:val="00BF3251"/>
    <w:rsid w:val="00BF3279"/>
    <w:rsid w:val="00BF3B6B"/>
    <w:rsid w:val="00BF3E81"/>
    <w:rsid w:val="00BF3EC8"/>
    <w:rsid w:val="00BF4D66"/>
    <w:rsid w:val="00BF4F23"/>
    <w:rsid w:val="00BF5872"/>
    <w:rsid w:val="00BF5CF6"/>
    <w:rsid w:val="00BF6036"/>
    <w:rsid w:val="00BF611E"/>
    <w:rsid w:val="00BF64D6"/>
    <w:rsid w:val="00BF6582"/>
    <w:rsid w:val="00BF7217"/>
    <w:rsid w:val="00BF7356"/>
    <w:rsid w:val="00BF74C7"/>
    <w:rsid w:val="00BF7623"/>
    <w:rsid w:val="00C001BE"/>
    <w:rsid w:val="00C00704"/>
    <w:rsid w:val="00C00962"/>
    <w:rsid w:val="00C009AC"/>
    <w:rsid w:val="00C00AE8"/>
    <w:rsid w:val="00C00B53"/>
    <w:rsid w:val="00C01018"/>
    <w:rsid w:val="00C015F1"/>
    <w:rsid w:val="00C01F33"/>
    <w:rsid w:val="00C02236"/>
    <w:rsid w:val="00C02CC6"/>
    <w:rsid w:val="00C02EF8"/>
    <w:rsid w:val="00C032FC"/>
    <w:rsid w:val="00C040F7"/>
    <w:rsid w:val="00C041B0"/>
    <w:rsid w:val="00C04475"/>
    <w:rsid w:val="00C044AB"/>
    <w:rsid w:val="00C046CD"/>
    <w:rsid w:val="00C05706"/>
    <w:rsid w:val="00C05E8E"/>
    <w:rsid w:val="00C06082"/>
    <w:rsid w:val="00C06169"/>
    <w:rsid w:val="00C06605"/>
    <w:rsid w:val="00C06AD5"/>
    <w:rsid w:val="00C07377"/>
    <w:rsid w:val="00C07ACA"/>
    <w:rsid w:val="00C10283"/>
    <w:rsid w:val="00C10478"/>
    <w:rsid w:val="00C10590"/>
    <w:rsid w:val="00C119F4"/>
    <w:rsid w:val="00C12107"/>
    <w:rsid w:val="00C12978"/>
    <w:rsid w:val="00C1336E"/>
    <w:rsid w:val="00C1339F"/>
    <w:rsid w:val="00C13429"/>
    <w:rsid w:val="00C136B9"/>
    <w:rsid w:val="00C13C4B"/>
    <w:rsid w:val="00C14D4B"/>
    <w:rsid w:val="00C14F45"/>
    <w:rsid w:val="00C153EB"/>
    <w:rsid w:val="00C154BB"/>
    <w:rsid w:val="00C15FEA"/>
    <w:rsid w:val="00C1670D"/>
    <w:rsid w:val="00C16C9A"/>
    <w:rsid w:val="00C17159"/>
    <w:rsid w:val="00C173FB"/>
    <w:rsid w:val="00C177D6"/>
    <w:rsid w:val="00C20D14"/>
    <w:rsid w:val="00C214EA"/>
    <w:rsid w:val="00C218C5"/>
    <w:rsid w:val="00C22345"/>
    <w:rsid w:val="00C22468"/>
    <w:rsid w:val="00C22E48"/>
    <w:rsid w:val="00C23EE8"/>
    <w:rsid w:val="00C2471F"/>
    <w:rsid w:val="00C24E68"/>
    <w:rsid w:val="00C25DF9"/>
    <w:rsid w:val="00C26005"/>
    <w:rsid w:val="00C2656B"/>
    <w:rsid w:val="00C26FAA"/>
    <w:rsid w:val="00C27186"/>
    <w:rsid w:val="00C279B5"/>
    <w:rsid w:val="00C27BD2"/>
    <w:rsid w:val="00C27C45"/>
    <w:rsid w:val="00C30691"/>
    <w:rsid w:val="00C30833"/>
    <w:rsid w:val="00C30F0B"/>
    <w:rsid w:val="00C31470"/>
    <w:rsid w:val="00C35447"/>
    <w:rsid w:val="00C35564"/>
    <w:rsid w:val="00C35AA0"/>
    <w:rsid w:val="00C35CCF"/>
    <w:rsid w:val="00C3719D"/>
    <w:rsid w:val="00C3756F"/>
    <w:rsid w:val="00C377C8"/>
    <w:rsid w:val="00C37E19"/>
    <w:rsid w:val="00C40315"/>
    <w:rsid w:val="00C4076A"/>
    <w:rsid w:val="00C410AA"/>
    <w:rsid w:val="00C41251"/>
    <w:rsid w:val="00C42720"/>
    <w:rsid w:val="00C42C69"/>
    <w:rsid w:val="00C42C71"/>
    <w:rsid w:val="00C42D49"/>
    <w:rsid w:val="00C42D85"/>
    <w:rsid w:val="00C42DF8"/>
    <w:rsid w:val="00C4324D"/>
    <w:rsid w:val="00C433AE"/>
    <w:rsid w:val="00C43A9B"/>
    <w:rsid w:val="00C44547"/>
    <w:rsid w:val="00C45835"/>
    <w:rsid w:val="00C45F6E"/>
    <w:rsid w:val="00C46240"/>
    <w:rsid w:val="00C4651C"/>
    <w:rsid w:val="00C471BE"/>
    <w:rsid w:val="00C47927"/>
    <w:rsid w:val="00C4799A"/>
    <w:rsid w:val="00C47E8C"/>
    <w:rsid w:val="00C504D0"/>
    <w:rsid w:val="00C509AE"/>
    <w:rsid w:val="00C51103"/>
    <w:rsid w:val="00C51BF6"/>
    <w:rsid w:val="00C525C1"/>
    <w:rsid w:val="00C52DC6"/>
    <w:rsid w:val="00C52FEE"/>
    <w:rsid w:val="00C532F3"/>
    <w:rsid w:val="00C53624"/>
    <w:rsid w:val="00C53871"/>
    <w:rsid w:val="00C53ABB"/>
    <w:rsid w:val="00C54995"/>
    <w:rsid w:val="00C54BC9"/>
    <w:rsid w:val="00C54D41"/>
    <w:rsid w:val="00C5517F"/>
    <w:rsid w:val="00C55540"/>
    <w:rsid w:val="00C5572E"/>
    <w:rsid w:val="00C55CFC"/>
    <w:rsid w:val="00C57D72"/>
    <w:rsid w:val="00C57EF3"/>
    <w:rsid w:val="00C60298"/>
    <w:rsid w:val="00C603E2"/>
    <w:rsid w:val="00C60783"/>
    <w:rsid w:val="00C609B6"/>
    <w:rsid w:val="00C613C5"/>
    <w:rsid w:val="00C6151A"/>
    <w:rsid w:val="00C617F5"/>
    <w:rsid w:val="00C61B4C"/>
    <w:rsid w:val="00C61FE8"/>
    <w:rsid w:val="00C6225F"/>
    <w:rsid w:val="00C627C5"/>
    <w:rsid w:val="00C627E4"/>
    <w:rsid w:val="00C62F23"/>
    <w:rsid w:val="00C63B6D"/>
    <w:rsid w:val="00C64433"/>
    <w:rsid w:val="00C64672"/>
    <w:rsid w:val="00C6484D"/>
    <w:rsid w:val="00C64BE5"/>
    <w:rsid w:val="00C6502D"/>
    <w:rsid w:val="00C65572"/>
    <w:rsid w:val="00C65C33"/>
    <w:rsid w:val="00C65CA3"/>
    <w:rsid w:val="00C65EFC"/>
    <w:rsid w:val="00C662E2"/>
    <w:rsid w:val="00C66E63"/>
    <w:rsid w:val="00C67803"/>
    <w:rsid w:val="00C7057C"/>
    <w:rsid w:val="00C70697"/>
    <w:rsid w:val="00C7129C"/>
    <w:rsid w:val="00C716A0"/>
    <w:rsid w:val="00C71E5F"/>
    <w:rsid w:val="00C72EF4"/>
    <w:rsid w:val="00C73332"/>
    <w:rsid w:val="00C73931"/>
    <w:rsid w:val="00C752B6"/>
    <w:rsid w:val="00C75D2F"/>
    <w:rsid w:val="00C767BE"/>
    <w:rsid w:val="00C76963"/>
    <w:rsid w:val="00C76E3C"/>
    <w:rsid w:val="00C76F2F"/>
    <w:rsid w:val="00C770F2"/>
    <w:rsid w:val="00C77209"/>
    <w:rsid w:val="00C77A34"/>
    <w:rsid w:val="00C77B99"/>
    <w:rsid w:val="00C8128A"/>
    <w:rsid w:val="00C81568"/>
    <w:rsid w:val="00C82871"/>
    <w:rsid w:val="00C83454"/>
    <w:rsid w:val="00C836BC"/>
    <w:rsid w:val="00C837B2"/>
    <w:rsid w:val="00C84847"/>
    <w:rsid w:val="00C84CA9"/>
    <w:rsid w:val="00C8580F"/>
    <w:rsid w:val="00C8723E"/>
    <w:rsid w:val="00C872DB"/>
    <w:rsid w:val="00C873BE"/>
    <w:rsid w:val="00C8789B"/>
    <w:rsid w:val="00C87994"/>
    <w:rsid w:val="00C87996"/>
    <w:rsid w:val="00C90158"/>
    <w:rsid w:val="00C90216"/>
    <w:rsid w:val="00C9027A"/>
    <w:rsid w:val="00C904B3"/>
    <w:rsid w:val="00C9068E"/>
    <w:rsid w:val="00C90D9C"/>
    <w:rsid w:val="00C910C3"/>
    <w:rsid w:val="00C91490"/>
    <w:rsid w:val="00C9182E"/>
    <w:rsid w:val="00C91F7D"/>
    <w:rsid w:val="00C91FCB"/>
    <w:rsid w:val="00C9206B"/>
    <w:rsid w:val="00C93196"/>
    <w:rsid w:val="00C93B42"/>
    <w:rsid w:val="00C93C4B"/>
    <w:rsid w:val="00C944AB"/>
    <w:rsid w:val="00C953CF"/>
    <w:rsid w:val="00C95B40"/>
    <w:rsid w:val="00C961CD"/>
    <w:rsid w:val="00C96D0C"/>
    <w:rsid w:val="00C9735B"/>
    <w:rsid w:val="00C97482"/>
    <w:rsid w:val="00C977D6"/>
    <w:rsid w:val="00C97924"/>
    <w:rsid w:val="00CA0487"/>
    <w:rsid w:val="00CA04B9"/>
    <w:rsid w:val="00CA0EBA"/>
    <w:rsid w:val="00CA1057"/>
    <w:rsid w:val="00CA1ED8"/>
    <w:rsid w:val="00CA253C"/>
    <w:rsid w:val="00CA2BF4"/>
    <w:rsid w:val="00CA2D35"/>
    <w:rsid w:val="00CA331B"/>
    <w:rsid w:val="00CA3474"/>
    <w:rsid w:val="00CA34C1"/>
    <w:rsid w:val="00CA40BE"/>
    <w:rsid w:val="00CA4300"/>
    <w:rsid w:val="00CA44F4"/>
    <w:rsid w:val="00CA5093"/>
    <w:rsid w:val="00CA5F74"/>
    <w:rsid w:val="00CA62A6"/>
    <w:rsid w:val="00CA6A40"/>
    <w:rsid w:val="00CA6F09"/>
    <w:rsid w:val="00CA7373"/>
    <w:rsid w:val="00CB09DA"/>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494"/>
    <w:rsid w:val="00CB4A54"/>
    <w:rsid w:val="00CB4D66"/>
    <w:rsid w:val="00CB5759"/>
    <w:rsid w:val="00CB59E0"/>
    <w:rsid w:val="00CB6193"/>
    <w:rsid w:val="00CB61EF"/>
    <w:rsid w:val="00CB7170"/>
    <w:rsid w:val="00CB7876"/>
    <w:rsid w:val="00CB7F94"/>
    <w:rsid w:val="00CC0239"/>
    <w:rsid w:val="00CC040E"/>
    <w:rsid w:val="00CC0A45"/>
    <w:rsid w:val="00CC111F"/>
    <w:rsid w:val="00CC136E"/>
    <w:rsid w:val="00CC16FC"/>
    <w:rsid w:val="00CC1FB9"/>
    <w:rsid w:val="00CC2011"/>
    <w:rsid w:val="00CC2716"/>
    <w:rsid w:val="00CC2C13"/>
    <w:rsid w:val="00CC35F7"/>
    <w:rsid w:val="00CC36B3"/>
    <w:rsid w:val="00CC3B48"/>
    <w:rsid w:val="00CC3EA0"/>
    <w:rsid w:val="00CC4046"/>
    <w:rsid w:val="00CC4265"/>
    <w:rsid w:val="00CC44C8"/>
    <w:rsid w:val="00CC4C07"/>
    <w:rsid w:val="00CC6881"/>
    <w:rsid w:val="00CC745E"/>
    <w:rsid w:val="00CC7B45"/>
    <w:rsid w:val="00CD0521"/>
    <w:rsid w:val="00CD0676"/>
    <w:rsid w:val="00CD0D28"/>
    <w:rsid w:val="00CD0DD8"/>
    <w:rsid w:val="00CD0FCF"/>
    <w:rsid w:val="00CD1072"/>
    <w:rsid w:val="00CD1188"/>
    <w:rsid w:val="00CD1487"/>
    <w:rsid w:val="00CD160F"/>
    <w:rsid w:val="00CD2B1A"/>
    <w:rsid w:val="00CD2D0C"/>
    <w:rsid w:val="00CD2ED1"/>
    <w:rsid w:val="00CD2F77"/>
    <w:rsid w:val="00CD31A8"/>
    <w:rsid w:val="00CD337B"/>
    <w:rsid w:val="00CD3412"/>
    <w:rsid w:val="00CD4074"/>
    <w:rsid w:val="00CD424E"/>
    <w:rsid w:val="00CD5342"/>
    <w:rsid w:val="00CD5555"/>
    <w:rsid w:val="00CD7877"/>
    <w:rsid w:val="00CD78AE"/>
    <w:rsid w:val="00CE0424"/>
    <w:rsid w:val="00CE182B"/>
    <w:rsid w:val="00CE225F"/>
    <w:rsid w:val="00CE24E1"/>
    <w:rsid w:val="00CE2651"/>
    <w:rsid w:val="00CE2852"/>
    <w:rsid w:val="00CE2883"/>
    <w:rsid w:val="00CE2A8A"/>
    <w:rsid w:val="00CE5519"/>
    <w:rsid w:val="00CE56D0"/>
    <w:rsid w:val="00CE5A51"/>
    <w:rsid w:val="00CE74E6"/>
    <w:rsid w:val="00CE7561"/>
    <w:rsid w:val="00CE7D63"/>
    <w:rsid w:val="00CF1354"/>
    <w:rsid w:val="00CF1397"/>
    <w:rsid w:val="00CF27E3"/>
    <w:rsid w:val="00CF3A80"/>
    <w:rsid w:val="00CF3B1F"/>
    <w:rsid w:val="00CF3BF6"/>
    <w:rsid w:val="00CF4031"/>
    <w:rsid w:val="00CF42C4"/>
    <w:rsid w:val="00CF49D6"/>
    <w:rsid w:val="00CF51DD"/>
    <w:rsid w:val="00CF5BA1"/>
    <w:rsid w:val="00CF5CB0"/>
    <w:rsid w:val="00CF625B"/>
    <w:rsid w:val="00CF687E"/>
    <w:rsid w:val="00CF6BA0"/>
    <w:rsid w:val="00CF6F19"/>
    <w:rsid w:val="00CF7B42"/>
    <w:rsid w:val="00CF7C55"/>
    <w:rsid w:val="00D003E2"/>
    <w:rsid w:val="00D00EE6"/>
    <w:rsid w:val="00D0142B"/>
    <w:rsid w:val="00D01F9C"/>
    <w:rsid w:val="00D03125"/>
    <w:rsid w:val="00D031AD"/>
    <w:rsid w:val="00D031DA"/>
    <w:rsid w:val="00D0349B"/>
    <w:rsid w:val="00D03861"/>
    <w:rsid w:val="00D04434"/>
    <w:rsid w:val="00D04A7D"/>
    <w:rsid w:val="00D05367"/>
    <w:rsid w:val="00D05AA7"/>
    <w:rsid w:val="00D05F16"/>
    <w:rsid w:val="00D06492"/>
    <w:rsid w:val="00D0655A"/>
    <w:rsid w:val="00D067F6"/>
    <w:rsid w:val="00D0682D"/>
    <w:rsid w:val="00D06C62"/>
    <w:rsid w:val="00D0708C"/>
    <w:rsid w:val="00D077C6"/>
    <w:rsid w:val="00D0791F"/>
    <w:rsid w:val="00D07992"/>
    <w:rsid w:val="00D10249"/>
    <w:rsid w:val="00D10951"/>
    <w:rsid w:val="00D10A26"/>
    <w:rsid w:val="00D115C3"/>
    <w:rsid w:val="00D11897"/>
    <w:rsid w:val="00D11FB8"/>
    <w:rsid w:val="00D12695"/>
    <w:rsid w:val="00D12FC6"/>
    <w:rsid w:val="00D13135"/>
    <w:rsid w:val="00D13297"/>
    <w:rsid w:val="00D13310"/>
    <w:rsid w:val="00D13325"/>
    <w:rsid w:val="00D13C81"/>
    <w:rsid w:val="00D13E4E"/>
    <w:rsid w:val="00D13F00"/>
    <w:rsid w:val="00D14A4E"/>
    <w:rsid w:val="00D15AAD"/>
    <w:rsid w:val="00D15D01"/>
    <w:rsid w:val="00D161D8"/>
    <w:rsid w:val="00D165B8"/>
    <w:rsid w:val="00D17CE4"/>
    <w:rsid w:val="00D2006E"/>
    <w:rsid w:val="00D21672"/>
    <w:rsid w:val="00D2277F"/>
    <w:rsid w:val="00D239A7"/>
    <w:rsid w:val="00D23BE5"/>
    <w:rsid w:val="00D23F47"/>
    <w:rsid w:val="00D242E0"/>
    <w:rsid w:val="00D24951"/>
    <w:rsid w:val="00D24BF5"/>
    <w:rsid w:val="00D251A0"/>
    <w:rsid w:val="00D25491"/>
    <w:rsid w:val="00D25557"/>
    <w:rsid w:val="00D2556A"/>
    <w:rsid w:val="00D26B67"/>
    <w:rsid w:val="00D26BF0"/>
    <w:rsid w:val="00D26C20"/>
    <w:rsid w:val="00D27F67"/>
    <w:rsid w:val="00D3005B"/>
    <w:rsid w:val="00D30160"/>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C8B"/>
    <w:rsid w:val="00D426C2"/>
    <w:rsid w:val="00D4318F"/>
    <w:rsid w:val="00D438BF"/>
    <w:rsid w:val="00D43B74"/>
    <w:rsid w:val="00D43CF8"/>
    <w:rsid w:val="00D43FBB"/>
    <w:rsid w:val="00D440F8"/>
    <w:rsid w:val="00D441B9"/>
    <w:rsid w:val="00D4515A"/>
    <w:rsid w:val="00D455F2"/>
    <w:rsid w:val="00D4568D"/>
    <w:rsid w:val="00D4576B"/>
    <w:rsid w:val="00D45964"/>
    <w:rsid w:val="00D4619E"/>
    <w:rsid w:val="00D463E2"/>
    <w:rsid w:val="00D470E6"/>
    <w:rsid w:val="00D476B2"/>
    <w:rsid w:val="00D47F30"/>
    <w:rsid w:val="00D50A06"/>
    <w:rsid w:val="00D512FF"/>
    <w:rsid w:val="00D5135F"/>
    <w:rsid w:val="00D51F60"/>
    <w:rsid w:val="00D52012"/>
    <w:rsid w:val="00D52957"/>
    <w:rsid w:val="00D52B43"/>
    <w:rsid w:val="00D52BA3"/>
    <w:rsid w:val="00D5303E"/>
    <w:rsid w:val="00D53BB2"/>
    <w:rsid w:val="00D546FF"/>
    <w:rsid w:val="00D548D1"/>
    <w:rsid w:val="00D5544B"/>
    <w:rsid w:val="00D55AD5"/>
    <w:rsid w:val="00D55E91"/>
    <w:rsid w:val="00D576CA"/>
    <w:rsid w:val="00D576E3"/>
    <w:rsid w:val="00D603D7"/>
    <w:rsid w:val="00D60E13"/>
    <w:rsid w:val="00D61AF5"/>
    <w:rsid w:val="00D62AC2"/>
    <w:rsid w:val="00D62CD5"/>
    <w:rsid w:val="00D64024"/>
    <w:rsid w:val="00D642D1"/>
    <w:rsid w:val="00D6435F"/>
    <w:rsid w:val="00D64DEB"/>
    <w:rsid w:val="00D652B5"/>
    <w:rsid w:val="00D652F2"/>
    <w:rsid w:val="00D6607B"/>
    <w:rsid w:val="00D66155"/>
    <w:rsid w:val="00D66919"/>
    <w:rsid w:val="00D67C2D"/>
    <w:rsid w:val="00D7079A"/>
    <w:rsid w:val="00D70841"/>
    <w:rsid w:val="00D708B0"/>
    <w:rsid w:val="00D70C0E"/>
    <w:rsid w:val="00D72099"/>
    <w:rsid w:val="00D73192"/>
    <w:rsid w:val="00D732D9"/>
    <w:rsid w:val="00D73427"/>
    <w:rsid w:val="00D73A16"/>
    <w:rsid w:val="00D74277"/>
    <w:rsid w:val="00D74AEC"/>
    <w:rsid w:val="00D75936"/>
    <w:rsid w:val="00D77029"/>
    <w:rsid w:val="00D7751A"/>
    <w:rsid w:val="00D77B1D"/>
    <w:rsid w:val="00D8021F"/>
    <w:rsid w:val="00D80383"/>
    <w:rsid w:val="00D80ADB"/>
    <w:rsid w:val="00D80B3E"/>
    <w:rsid w:val="00D819E8"/>
    <w:rsid w:val="00D81DFE"/>
    <w:rsid w:val="00D81F78"/>
    <w:rsid w:val="00D823C6"/>
    <w:rsid w:val="00D82883"/>
    <w:rsid w:val="00D82E25"/>
    <w:rsid w:val="00D83756"/>
    <w:rsid w:val="00D837A0"/>
    <w:rsid w:val="00D84E09"/>
    <w:rsid w:val="00D85C14"/>
    <w:rsid w:val="00D86189"/>
    <w:rsid w:val="00D86B71"/>
    <w:rsid w:val="00D86CA3"/>
    <w:rsid w:val="00D87003"/>
    <w:rsid w:val="00D871CE"/>
    <w:rsid w:val="00D8787A"/>
    <w:rsid w:val="00D878A9"/>
    <w:rsid w:val="00D879A4"/>
    <w:rsid w:val="00D87C65"/>
    <w:rsid w:val="00D90993"/>
    <w:rsid w:val="00D9129F"/>
    <w:rsid w:val="00D9196D"/>
    <w:rsid w:val="00D92431"/>
    <w:rsid w:val="00D92801"/>
    <w:rsid w:val="00D92982"/>
    <w:rsid w:val="00D92D22"/>
    <w:rsid w:val="00D92D71"/>
    <w:rsid w:val="00D93024"/>
    <w:rsid w:val="00D93AE1"/>
    <w:rsid w:val="00D9464E"/>
    <w:rsid w:val="00D94B1F"/>
    <w:rsid w:val="00D955BF"/>
    <w:rsid w:val="00D95766"/>
    <w:rsid w:val="00D959CC"/>
    <w:rsid w:val="00D968DA"/>
    <w:rsid w:val="00D9693C"/>
    <w:rsid w:val="00D96AF5"/>
    <w:rsid w:val="00D971D9"/>
    <w:rsid w:val="00D97336"/>
    <w:rsid w:val="00D97697"/>
    <w:rsid w:val="00DA0106"/>
    <w:rsid w:val="00DA0471"/>
    <w:rsid w:val="00DA15B5"/>
    <w:rsid w:val="00DA1C45"/>
    <w:rsid w:val="00DA1DF4"/>
    <w:rsid w:val="00DA20FC"/>
    <w:rsid w:val="00DA25B1"/>
    <w:rsid w:val="00DA305E"/>
    <w:rsid w:val="00DA3477"/>
    <w:rsid w:val="00DA358A"/>
    <w:rsid w:val="00DA41F5"/>
    <w:rsid w:val="00DA496C"/>
    <w:rsid w:val="00DA4C1D"/>
    <w:rsid w:val="00DA5007"/>
    <w:rsid w:val="00DA5417"/>
    <w:rsid w:val="00DA56E8"/>
    <w:rsid w:val="00DA5A25"/>
    <w:rsid w:val="00DA5BDE"/>
    <w:rsid w:val="00DA6689"/>
    <w:rsid w:val="00DA69D3"/>
    <w:rsid w:val="00DA7255"/>
    <w:rsid w:val="00DA7516"/>
    <w:rsid w:val="00DA7E9B"/>
    <w:rsid w:val="00DB0A9F"/>
    <w:rsid w:val="00DB0F9E"/>
    <w:rsid w:val="00DB1A51"/>
    <w:rsid w:val="00DB1C6D"/>
    <w:rsid w:val="00DB2000"/>
    <w:rsid w:val="00DB2182"/>
    <w:rsid w:val="00DB27C1"/>
    <w:rsid w:val="00DB377D"/>
    <w:rsid w:val="00DB4499"/>
    <w:rsid w:val="00DB46AB"/>
    <w:rsid w:val="00DB4AFD"/>
    <w:rsid w:val="00DB4C71"/>
    <w:rsid w:val="00DB4FFB"/>
    <w:rsid w:val="00DB548A"/>
    <w:rsid w:val="00DB591C"/>
    <w:rsid w:val="00DB6431"/>
    <w:rsid w:val="00DB7A41"/>
    <w:rsid w:val="00DB7C7B"/>
    <w:rsid w:val="00DC087B"/>
    <w:rsid w:val="00DC0BC3"/>
    <w:rsid w:val="00DC0D4D"/>
    <w:rsid w:val="00DC13A2"/>
    <w:rsid w:val="00DC18D2"/>
    <w:rsid w:val="00DC2D36"/>
    <w:rsid w:val="00DC2F9A"/>
    <w:rsid w:val="00DC3020"/>
    <w:rsid w:val="00DC3047"/>
    <w:rsid w:val="00DC3425"/>
    <w:rsid w:val="00DC34AD"/>
    <w:rsid w:val="00DC53EF"/>
    <w:rsid w:val="00DC6486"/>
    <w:rsid w:val="00DC69C5"/>
    <w:rsid w:val="00DC7AAD"/>
    <w:rsid w:val="00DC7E2E"/>
    <w:rsid w:val="00DD0200"/>
    <w:rsid w:val="00DD0A3C"/>
    <w:rsid w:val="00DD0CCA"/>
    <w:rsid w:val="00DD1174"/>
    <w:rsid w:val="00DD162C"/>
    <w:rsid w:val="00DD18FF"/>
    <w:rsid w:val="00DD3EE3"/>
    <w:rsid w:val="00DD4536"/>
    <w:rsid w:val="00DD5CE4"/>
    <w:rsid w:val="00DD5FD0"/>
    <w:rsid w:val="00DD60DE"/>
    <w:rsid w:val="00DD6A8C"/>
    <w:rsid w:val="00DD6C37"/>
    <w:rsid w:val="00DD72B0"/>
    <w:rsid w:val="00DD74A8"/>
    <w:rsid w:val="00DD75E2"/>
    <w:rsid w:val="00DD7A99"/>
    <w:rsid w:val="00DD7DCF"/>
    <w:rsid w:val="00DE06D0"/>
    <w:rsid w:val="00DE127F"/>
    <w:rsid w:val="00DE16A2"/>
    <w:rsid w:val="00DE17EE"/>
    <w:rsid w:val="00DE1825"/>
    <w:rsid w:val="00DE1ADF"/>
    <w:rsid w:val="00DE2A6E"/>
    <w:rsid w:val="00DE301C"/>
    <w:rsid w:val="00DE3171"/>
    <w:rsid w:val="00DE320C"/>
    <w:rsid w:val="00DE356B"/>
    <w:rsid w:val="00DE36FF"/>
    <w:rsid w:val="00DE4C2B"/>
    <w:rsid w:val="00DE4D1B"/>
    <w:rsid w:val="00DE4FDC"/>
    <w:rsid w:val="00DE5608"/>
    <w:rsid w:val="00DE58D0"/>
    <w:rsid w:val="00DE591A"/>
    <w:rsid w:val="00DE631A"/>
    <w:rsid w:val="00DE654F"/>
    <w:rsid w:val="00DE6EC3"/>
    <w:rsid w:val="00DE7C1F"/>
    <w:rsid w:val="00DE7E0B"/>
    <w:rsid w:val="00DF0614"/>
    <w:rsid w:val="00DF0B6E"/>
    <w:rsid w:val="00DF0DF2"/>
    <w:rsid w:val="00DF15E0"/>
    <w:rsid w:val="00DF1A51"/>
    <w:rsid w:val="00DF2B54"/>
    <w:rsid w:val="00DF318B"/>
    <w:rsid w:val="00DF3520"/>
    <w:rsid w:val="00DF369C"/>
    <w:rsid w:val="00DF3772"/>
    <w:rsid w:val="00DF37A0"/>
    <w:rsid w:val="00DF3B7B"/>
    <w:rsid w:val="00DF4008"/>
    <w:rsid w:val="00DF44A2"/>
    <w:rsid w:val="00DF454B"/>
    <w:rsid w:val="00DF45B5"/>
    <w:rsid w:val="00DF4F61"/>
    <w:rsid w:val="00DF54FD"/>
    <w:rsid w:val="00DF6056"/>
    <w:rsid w:val="00DF62E3"/>
    <w:rsid w:val="00DF7559"/>
    <w:rsid w:val="00E006FD"/>
    <w:rsid w:val="00E00D7C"/>
    <w:rsid w:val="00E012C0"/>
    <w:rsid w:val="00E017F6"/>
    <w:rsid w:val="00E01A94"/>
    <w:rsid w:val="00E02498"/>
    <w:rsid w:val="00E02957"/>
    <w:rsid w:val="00E02A05"/>
    <w:rsid w:val="00E02D54"/>
    <w:rsid w:val="00E03251"/>
    <w:rsid w:val="00E03372"/>
    <w:rsid w:val="00E034DB"/>
    <w:rsid w:val="00E03511"/>
    <w:rsid w:val="00E03709"/>
    <w:rsid w:val="00E045A4"/>
    <w:rsid w:val="00E04A56"/>
    <w:rsid w:val="00E0503D"/>
    <w:rsid w:val="00E05B68"/>
    <w:rsid w:val="00E05C62"/>
    <w:rsid w:val="00E05E76"/>
    <w:rsid w:val="00E0781D"/>
    <w:rsid w:val="00E10749"/>
    <w:rsid w:val="00E110E7"/>
    <w:rsid w:val="00E1133B"/>
    <w:rsid w:val="00E11B20"/>
    <w:rsid w:val="00E121CD"/>
    <w:rsid w:val="00E12331"/>
    <w:rsid w:val="00E1259A"/>
    <w:rsid w:val="00E128F0"/>
    <w:rsid w:val="00E129D7"/>
    <w:rsid w:val="00E12A4B"/>
    <w:rsid w:val="00E12F74"/>
    <w:rsid w:val="00E13163"/>
    <w:rsid w:val="00E134C9"/>
    <w:rsid w:val="00E136DB"/>
    <w:rsid w:val="00E1424B"/>
    <w:rsid w:val="00E14C0B"/>
    <w:rsid w:val="00E1555A"/>
    <w:rsid w:val="00E16887"/>
    <w:rsid w:val="00E1691D"/>
    <w:rsid w:val="00E1698F"/>
    <w:rsid w:val="00E17720"/>
    <w:rsid w:val="00E17FA2"/>
    <w:rsid w:val="00E20601"/>
    <w:rsid w:val="00E209C7"/>
    <w:rsid w:val="00E209D9"/>
    <w:rsid w:val="00E20A0E"/>
    <w:rsid w:val="00E20FEC"/>
    <w:rsid w:val="00E22330"/>
    <w:rsid w:val="00E23633"/>
    <w:rsid w:val="00E23997"/>
    <w:rsid w:val="00E2423D"/>
    <w:rsid w:val="00E24340"/>
    <w:rsid w:val="00E24460"/>
    <w:rsid w:val="00E24518"/>
    <w:rsid w:val="00E24FD3"/>
    <w:rsid w:val="00E25353"/>
    <w:rsid w:val="00E25AE6"/>
    <w:rsid w:val="00E3003E"/>
    <w:rsid w:val="00E30692"/>
    <w:rsid w:val="00E30B5A"/>
    <w:rsid w:val="00E3123D"/>
    <w:rsid w:val="00E31461"/>
    <w:rsid w:val="00E31D43"/>
    <w:rsid w:val="00E32189"/>
    <w:rsid w:val="00E321E8"/>
    <w:rsid w:val="00E32608"/>
    <w:rsid w:val="00E32950"/>
    <w:rsid w:val="00E32E11"/>
    <w:rsid w:val="00E32EB8"/>
    <w:rsid w:val="00E33156"/>
    <w:rsid w:val="00E33CDD"/>
    <w:rsid w:val="00E34188"/>
    <w:rsid w:val="00E345CD"/>
    <w:rsid w:val="00E34B6E"/>
    <w:rsid w:val="00E35559"/>
    <w:rsid w:val="00E359C0"/>
    <w:rsid w:val="00E35EF6"/>
    <w:rsid w:val="00E3663D"/>
    <w:rsid w:val="00E367E8"/>
    <w:rsid w:val="00E36EBA"/>
    <w:rsid w:val="00E371D3"/>
    <w:rsid w:val="00E3723A"/>
    <w:rsid w:val="00E374E2"/>
    <w:rsid w:val="00E37860"/>
    <w:rsid w:val="00E379F0"/>
    <w:rsid w:val="00E403C9"/>
    <w:rsid w:val="00E41511"/>
    <w:rsid w:val="00E416C4"/>
    <w:rsid w:val="00E417E5"/>
    <w:rsid w:val="00E41B7B"/>
    <w:rsid w:val="00E421D7"/>
    <w:rsid w:val="00E421D8"/>
    <w:rsid w:val="00E42775"/>
    <w:rsid w:val="00E4311E"/>
    <w:rsid w:val="00E4383C"/>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17E5"/>
    <w:rsid w:val="00E5219D"/>
    <w:rsid w:val="00E52A10"/>
    <w:rsid w:val="00E52E06"/>
    <w:rsid w:val="00E52E2F"/>
    <w:rsid w:val="00E53448"/>
    <w:rsid w:val="00E53B75"/>
    <w:rsid w:val="00E54E3B"/>
    <w:rsid w:val="00E557C6"/>
    <w:rsid w:val="00E55C1A"/>
    <w:rsid w:val="00E55C55"/>
    <w:rsid w:val="00E55D27"/>
    <w:rsid w:val="00E56B5B"/>
    <w:rsid w:val="00E5729C"/>
    <w:rsid w:val="00E572F1"/>
    <w:rsid w:val="00E57565"/>
    <w:rsid w:val="00E60AD7"/>
    <w:rsid w:val="00E61BFB"/>
    <w:rsid w:val="00E62B5D"/>
    <w:rsid w:val="00E62BD9"/>
    <w:rsid w:val="00E62BFC"/>
    <w:rsid w:val="00E63838"/>
    <w:rsid w:val="00E6427E"/>
    <w:rsid w:val="00E64434"/>
    <w:rsid w:val="00E64647"/>
    <w:rsid w:val="00E64739"/>
    <w:rsid w:val="00E64F71"/>
    <w:rsid w:val="00E650C5"/>
    <w:rsid w:val="00E65486"/>
    <w:rsid w:val="00E65BD4"/>
    <w:rsid w:val="00E65DE5"/>
    <w:rsid w:val="00E661A7"/>
    <w:rsid w:val="00E665EC"/>
    <w:rsid w:val="00E67540"/>
    <w:rsid w:val="00E677DD"/>
    <w:rsid w:val="00E67998"/>
    <w:rsid w:val="00E67C51"/>
    <w:rsid w:val="00E7011B"/>
    <w:rsid w:val="00E7069F"/>
    <w:rsid w:val="00E72EFC"/>
    <w:rsid w:val="00E73DC7"/>
    <w:rsid w:val="00E74859"/>
    <w:rsid w:val="00E758EC"/>
    <w:rsid w:val="00E75FF8"/>
    <w:rsid w:val="00E76551"/>
    <w:rsid w:val="00E7665F"/>
    <w:rsid w:val="00E76ACC"/>
    <w:rsid w:val="00E77071"/>
    <w:rsid w:val="00E777F9"/>
    <w:rsid w:val="00E77A36"/>
    <w:rsid w:val="00E77D23"/>
    <w:rsid w:val="00E77E3A"/>
    <w:rsid w:val="00E77E85"/>
    <w:rsid w:val="00E77EFF"/>
    <w:rsid w:val="00E77FAB"/>
    <w:rsid w:val="00E800C3"/>
    <w:rsid w:val="00E82310"/>
    <w:rsid w:val="00E8234C"/>
    <w:rsid w:val="00E82420"/>
    <w:rsid w:val="00E82FEE"/>
    <w:rsid w:val="00E8304E"/>
    <w:rsid w:val="00E831A8"/>
    <w:rsid w:val="00E83AA9"/>
    <w:rsid w:val="00E84439"/>
    <w:rsid w:val="00E84B69"/>
    <w:rsid w:val="00E84D30"/>
    <w:rsid w:val="00E85241"/>
    <w:rsid w:val="00E85928"/>
    <w:rsid w:val="00E85D48"/>
    <w:rsid w:val="00E85DDF"/>
    <w:rsid w:val="00E85F0B"/>
    <w:rsid w:val="00E8706E"/>
    <w:rsid w:val="00E873A2"/>
    <w:rsid w:val="00E874C5"/>
    <w:rsid w:val="00E876B4"/>
    <w:rsid w:val="00E87822"/>
    <w:rsid w:val="00E90395"/>
    <w:rsid w:val="00E90CF4"/>
    <w:rsid w:val="00E90E49"/>
    <w:rsid w:val="00E917F9"/>
    <w:rsid w:val="00E9291C"/>
    <w:rsid w:val="00E93F05"/>
    <w:rsid w:val="00E93FCE"/>
    <w:rsid w:val="00E93FFE"/>
    <w:rsid w:val="00E942F4"/>
    <w:rsid w:val="00E94A2C"/>
    <w:rsid w:val="00E94D8F"/>
    <w:rsid w:val="00E94F33"/>
    <w:rsid w:val="00E94F8A"/>
    <w:rsid w:val="00E95E44"/>
    <w:rsid w:val="00E96798"/>
    <w:rsid w:val="00E96F75"/>
    <w:rsid w:val="00E973BC"/>
    <w:rsid w:val="00E97F7A"/>
    <w:rsid w:val="00EA06ED"/>
    <w:rsid w:val="00EA0934"/>
    <w:rsid w:val="00EA17BD"/>
    <w:rsid w:val="00EA1A85"/>
    <w:rsid w:val="00EA1CA1"/>
    <w:rsid w:val="00EA20DE"/>
    <w:rsid w:val="00EA26A9"/>
    <w:rsid w:val="00EA2CF1"/>
    <w:rsid w:val="00EA2D2E"/>
    <w:rsid w:val="00EA38AE"/>
    <w:rsid w:val="00EA4483"/>
    <w:rsid w:val="00EA5A5B"/>
    <w:rsid w:val="00EA5AA7"/>
    <w:rsid w:val="00EA6A36"/>
    <w:rsid w:val="00EA7056"/>
    <w:rsid w:val="00EA70B1"/>
    <w:rsid w:val="00EA7A41"/>
    <w:rsid w:val="00EB0278"/>
    <w:rsid w:val="00EB046F"/>
    <w:rsid w:val="00EB077B"/>
    <w:rsid w:val="00EB21E2"/>
    <w:rsid w:val="00EB22DA"/>
    <w:rsid w:val="00EB3645"/>
    <w:rsid w:val="00EB3AFC"/>
    <w:rsid w:val="00EB3BA7"/>
    <w:rsid w:val="00EB3C74"/>
    <w:rsid w:val="00EB3DE6"/>
    <w:rsid w:val="00EB4791"/>
    <w:rsid w:val="00EB4C70"/>
    <w:rsid w:val="00EB4EA2"/>
    <w:rsid w:val="00EB5333"/>
    <w:rsid w:val="00EB55C0"/>
    <w:rsid w:val="00EB68B4"/>
    <w:rsid w:val="00EB718C"/>
    <w:rsid w:val="00EB7353"/>
    <w:rsid w:val="00EB75F3"/>
    <w:rsid w:val="00EB7B29"/>
    <w:rsid w:val="00EB7CE4"/>
    <w:rsid w:val="00EB7FE7"/>
    <w:rsid w:val="00EC086D"/>
    <w:rsid w:val="00EC0D2F"/>
    <w:rsid w:val="00EC11EE"/>
    <w:rsid w:val="00EC17F7"/>
    <w:rsid w:val="00EC23A3"/>
    <w:rsid w:val="00EC27C6"/>
    <w:rsid w:val="00EC2849"/>
    <w:rsid w:val="00EC2C02"/>
    <w:rsid w:val="00EC2CE4"/>
    <w:rsid w:val="00EC2FCF"/>
    <w:rsid w:val="00EC4207"/>
    <w:rsid w:val="00EC43BC"/>
    <w:rsid w:val="00EC54E3"/>
    <w:rsid w:val="00EC5653"/>
    <w:rsid w:val="00EC5A31"/>
    <w:rsid w:val="00EC5F6E"/>
    <w:rsid w:val="00EC60B5"/>
    <w:rsid w:val="00EC6E4D"/>
    <w:rsid w:val="00EC71CE"/>
    <w:rsid w:val="00EC74EA"/>
    <w:rsid w:val="00EC7D21"/>
    <w:rsid w:val="00ED0158"/>
    <w:rsid w:val="00ED01F1"/>
    <w:rsid w:val="00ED1006"/>
    <w:rsid w:val="00ED1185"/>
    <w:rsid w:val="00ED15FF"/>
    <w:rsid w:val="00ED1AEB"/>
    <w:rsid w:val="00ED1BEE"/>
    <w:rsid w:val="00ED1D14"/>
    <w:rsid w:val="00ED23CC"/>
    <w:rsid w:val="00ED24B0"/>
    <w:rsid w:val="00ED2AB8"/>
    <w:rsid w:val="00ED3E2F"/>
    <w:rsid w:val="00ED4362"/>
    <w:rsid w:val="00ED45CB"/>
    <w:rsid w:val="00ED4917"/>
    <w:rsid w:val="00ED4BF3"/>
    <w:rsid w:val="00ED4C85"/>
    <w:rsid w:val="00ED668D"/>
    <w:rsid w:val="00ED6C4B"/>
    <w:rsid w:val="00ED6DF2"/>
    <w:rsid w:val="00ED74C4"/>
    <w:rsid w:val="00ED7799"/>
    <w:rsid w:val="00ED7E54"/>
    <w:rsid w:val="00EE0CA6"/>
    <w:rsid w:val="00EE0E2C"/>
    <w:rsid w:val="00EE1939"/>
    <w:rsid w:val="00EE2BB7"/>
    <w:rsid w:val="00EE2C5B"/>
    <w:rsid w:val="00EE3C98"/>
    <w:rsid w:val="00EE4C32"/>
    <w:rsid w:val="00EE5666"/>
    <w:rsid w:val="00EE5A1B"/>
    <w:rsid w:val="00EE6A74"/>
    <w:rsid w:val="00EE6AEB"/>
    <w:rsid w:val="00EE71C1"/>
    <w:rsid w:val="00EE71DE"/>
    <w:rsid w:val="00EE7417"/>
    <w:rsid w:val="00EF128D"/>
    <w:rsid w:val="00EF15EF"/>
    <w:rsid w:val="00EF18FE"/>
    <w:rsid w:val="00EF19A7"/>
    <w:rsid w:val="00EF25EC"/>
    <w:rsid w:val="00EF2F9E"/>
    <w:rsid w:val="00EF361E"/>
    <w:rsid w:val="00EF3A90"/>
    <w:rsid w:val="00EF4364"/>
    <w:rsid w:val="00EF46EC"/>
    <w:rsid w:val="00EF4ADF"/>
    <w:rsid w:val="00EF511A"/>
    <w:rsid w:val="00EF515C"/>
    <w:rsid w:val="00EF5787"/>
    <w:rsid w:val="00EF591D"/>
    <w:rsid w:val="00EF5B44"/>
    <w:rsid w:val="00EF5F18"/>
    <w:rsid w:val="00EF60D0"/>
    <w:rsid w:val="00EF6FAF"/>
    <w:rsid w:val="00EF783B"/>
    <w:rsid w:val="00EF78F3"/>
    <w:rsid w:val="00EF79AC"/>
    <w:rsid w:val="00EF7F5C"/>
    <w:rsid w:val="00F000C5"/>
    <w:rsid w:val="00F00ADD"/>
    <w:rsid w:val="00F01F1B"/>
    <w:rsid w:val="00F029F1"/>
    <w:rsid w:val="00F03002"/>
    <w:rsid w:val="00F036EF"/>
    <w:rsid w:val="00F03ED4"/>
    <w:rsid w:val="00F03F7A"/>
    <w:rsid w:val="00F04ABF"/>
    <w:rsid w:val="00F04DC0"/>
    <w:rsid w:val="00F0528D"/>
    <w:rsid w:val="00F054B9"/>
    <w:rsid w:val="00F06405"/>
    <w:rsid w:val="00F066EC"/>
    <w:rsid w:val="00F06C67"/>
    <w:rsid w:val="00F06DFD"/>
    <w:rsid w:val="00F071D1"/>
    <w:rsid w:val="00F07533"/>
    <w:rsid w:val="00F07AA8"/>
    <w:rsid w:val="00F1019A"/>
    <w:rsid w:val="00F10629"/>
    <w:rsid w:val="00F106B3"/>
    <w:rsid w:val="00F10CDB"/>
    <w:rsid w:val="00F11055"/>
    <w:rsid w:val="00F119E8"/>
    <w:rsid w:val="00F11B2C"/>
    <w:rsid w:val="00F11B51"/>
    <w:rsid w:val="00F11BB0"/>
    <w:rsid w:val="00F11CE7"/>
    <w:rsid w:val="00F12470"/>
    <w:rsid w:val="00F12DE8"/>
    <w:rsid w:val="00F12E84"/>
    <w:rsid w:val="00F135A8"/>
    <w:rsid w:val="00F13B15"/>
    <w:rsid w:val="00F13CDA"/>
    <w:rsid w:val="00F14FA6"/>
    <w:rsid w:val="00F15FA5"/>
    <w:rsid w:val="00F162DA"/>
    <w:rsid w:val="00F16652"/>
    <w:rsid w:val="00F16746"/>
    <w:rsid w:val="00F16993"/>
    <w:rsid w:val="00F170EA"/>
    <w:rsid w:val="00F171FE"/>
    <w:rsid w:val="00F17A7B"/>
    <w:rsid w:val="00F17E83"/>
    <w:rsid w:val="00F20236"/>
    <w:rsid w:val="00F208CE"/>
    <w:rsid w:val="00F208F0"/>
    <w:rsid w:val="00F209B7"/>
    <w:rsid w:val="00F218FA"/>
    <w:rsid w:val="00F21B4A"/>
    <w:rsid w:val="00F228C9"/>
    <w:rsid w:val="00F2376F"/>
    <w:rsid w:val="00F240C7"/>
    <w:rsid w:val="00F240CC"/>
    <w:rsid w:val="00F243D8"/>
    <w:rsid w:val="00F24CC7"/>
    <w:rsid w:val="00F24DE0"/>
    <w:rsid w:val="00F24F01"/>
    <w:rsid w:val="00F25BBA"/>
    <w:rsid w:val="00F2688F"/>
    <w:rsid w:val="00F26E71"/>
    <w:rsid w:val="00F27337"/>
    <w:rsid w:val="00F30828"/>
    <w:rsid w:val="00F3108E"/>
    <w:rsid w:val="00F31148"/>
    <w:rsid w:val="00F313D6"/>
    <w:rsid w:val="00F326AF"/>
    <w:rsid w:val="00F32B20"/>
    <w:rsid w:val="00F32BC1"/>
    <w:rsid w:val="00F33113"/>
    <w:rsid w:val="00F33114"/>
    <w:rsid w:val="00F33BF6"/>
    <w:rsid w:val="00F33F60"/>
    <w:rsid w:val="00F3438E"/>
    <w:rsid w:val="00F35DFE"/>
    <w:rsid w:val="00F36D7E"/>
    <w:rsid w:val="00F374AB"/>
    <w:rsid w:val="00F374BD"/>
    <w:rsid w:val="00F37A65"/>
    <w:rsid w:val="00F40E5A"/>
    <w:rsid w:val="00F40F0C"/>
    <w:rsid w:val="00F41816"/>
    <w:rsid w:val="00F41C33"/>
    <w:rsid w:val="00F41C49"/>
    <w:rsid w:val="00F41CD4"/>
    <w:rsid w:val="00F42764"/>
    <w:rsid w:val="00F42E2D"/>
    <w:rsid w:val="00F43354"/>
    <w:rsid w:val="00F43969"/>
    <w:rsid w:val="00F43E56"/>
    <w:rsid w:val="00F449A7"/>
    <w:rsid w:val="00F44FEC"/>
    <w:rsid w:val="00F452B9"/>
    <w:rsid w:val="00F46010"/>
    <w:rsid w:val="00F46B03"/>
    <w:rsid w:val="00F46BF3"/>
    <w:rsid w:val="00F4766C"/>
    <w:rsid w:val="00F4790D"/>
    <w:rsid w:val="00F501A2"/>
    <w:rsid w:val="00F507D1"/>
    <w:rsid w:val="00F50FA4"/>
    <w:rsid w:val="00F514C3"/>
    <w:rsid w:val="00F519CE"/>
    <w:rsid w:val="00F51ADA"/>
    <w:rsid w:val="00F5302E"/>
    <w:rsid w:val="00F53417"/>
    <w:rsid w:val="00F53EA5"/>
    <w:rsid w:val="00F54FBA"/>
    <w:rsid w:val="00F55955"/>
    <w:rsid w:val="00F55E9A"/>
    <w:rsid w:val="00F55F64"/>
    <w:rsid w:val="00F568F3"/>
    <w:rsid w:val="00F570ED"/>
    <w:rsid w:val="00F572A8"/>
    <w:rsid w:val="00F573C5"/>
    <w:rsid w:val="00F574B7"/>
    <w:rsid w:val="00F5773D"/>
    <w:rsid w:val="00F579DD"/>
    <w:rsid w:val="00F57A6A"/>
    <w:rsid w:val="00F57EF5"/>
    <w:rsid w:val="00F607C5"/>
    <w:rsid w:val="00F60DEA"/>
    <w:rsid w:val="00F60EA4"/>
    <w:rsid w:val="00F6139A"/>
    <w:rsid w:val="00F6158E"/>
    <w:rsid w:val="00F6212D"/>
    <w:rsid w:val="00F6284D"/>
    <w:rsid w:val="00F62970"/>
    <w:rsid w:val="00F62D09"/>
    <w:rsid w:val="00F62E00"/>
    <w:rsid w:val="00F6302A"/>
    <w:rsid w:val="00F63055"/>
    <w:rsid w:val="00F638B3"/>
    <w:rsid w:val="00F639A8"/>
    <w:rsid w:val="00F64C2B"/>
    <w:rsid w:val="00F650BF"/>
    <w:rsid w:val="00F651BE"/>
    <w:rsid w:val="00F65A96"/>
    <w:rsid w:val="00F66E48"/>
    <w:rsid w:val="00F672CB"/>
    <w:rsid w:val="00F676FE"/>
    <w:rsid w:val="00F678AD"/>
    <w:rsid w:val="00F67ABA"/>
    <w:rsid w:val="00F67B02"/>
    <w:rsid w:val="00F67DCB"/>
    <w:rsid w:val="00F67F53"/>
    <w:rsid w:val="00F703BE"/>
    <w:rsid w:val="00F7060A"/>
    <w:rsid w:val="00F7074E"/>
    <w:rsid w:val="00F71A48"/>
    <w:rsid w:val="00F71F69"/>
    <w:rsid w:val="00F72108"/>
    <w:rsid w:val="00F7284F"/>
    <w:rsid w:val="00F72B72"/>
    <w:rsid w:val="00F73D0A"/>
    <w:rsid w:val="00F74244"/>
    <w:rsid w:val="00F74BB9"/>
    <w:rsid w:val="00F74DBD"/>
    <w:rsid w:val="00F753FE"/>
    <w:rsid w:val="00F75582"/>
    <w:rsid w:val="00F75A72"/>
    <w:rsid w:val="00F75A7F"/>
    <w:rsid w:val="00F76D2F"/>
    <w:rsid w:val="00F76EFA"/>
    <w:rsid w:val="00F773FB"/>
    <w:rsid w:val="00F804BE"/>
    <w:rsid w:val="00F817CE"/>
    <w:rsid w:val="00F8300F"/>
    <w:rsid w:val="00F835FD"/>
    <w:rsid w:val="00F837BA"/>
    <w:rsid w:val="00F84005"/>
    <w:rsid w:val="00F8431E"/>
    <w:rsid w:val="00F8456C"/>
    <w:rsid w:val="00F8488E"/>
    <w:rsid w:val="00F8498C"/>
    <w:rsid w:val="00F84C46"/>
    <w:rsid w:val="00F85349"/>
    <w:rsid w:val="00F8539B"/>
    <w:rsid w:val="00F8586A"/>
    <w:rsid w:val="00F859D8"/>
    <w:rsid w:val="00F85CA4"/>
    <w:rsid w:val="00F862DA"/>
    <w:rsid w:val="00F8666C"/>
    <w:rsid w:val="00F868F5"/>
    <w:rsid w:val="00F875D3"/>
    <w:rsid w:val="00F902FD"/>
    <w:rsid w:val="00F90344"/>
    <w:rsid w:val="00F9056A"/>
    <w:rsid w:val="00F90713"/>
    <w:rsid w:val="00F90E77"/>
    <w:rsid w:val="00F90F8D"/>
    <w:rsid w:val="00F919B5"/>
    <w:rsid w:val="00F91EAB"/>
    <w:rsid w:val="00F9230C"/>
    <w:rsid w:val="00F92782"/>
    <w:rsid w:val="00F92AE5"/>
    <w:rsid w:val="00F92EEF"/>
    <w:rsid w:val="00F93157"/>
    <w:rsid w:val="00F93955"/>
    <w:rsid w:val="00F93AA9"/>
    <w:rsid w:val="00F94192"/>
    <w:rsid w:val="00F943E8"/>
    <w:rsid w:val="00F95AF6"/>
    <w:rsid w:val="00F96985"/>
    <w:rsid w:val="00F96F0E"/>
    <w:rsid w:val="00F97838"/>
    <w:rsid w:val="00FA0638"/>
    <w:rsid w:val="00FA16F4"/>
    <w:rsid w:val="00FA1909"/>
    <w:rsid w:val="00FA24B8"/>
    <w:rsid w:val="00FA29A8"/>
    <w:rsid w:val="00FA2B9A"/>
    <w:rsid w:val="00FA2BB3"/>
    <w:rsid w:val="00FA4A57"/>
    <w:rsid w:val="00FA4B6B"/>
    <w:rsid w:val="00FA4E8B"/>
    <w:rsid w:val="00FA5339"/>
    <w:rsid w:val="00FA547C"/>
    <w:rsid w:val="00FA585D"/>
    <w:rsid w:val="00FA6A7C"/>
    <w:rsid w:val="00FA797C"/>
    <w:rsid w:val="00FA7ABE"/>
    <w:rsid w:val="00FB0445"/>
    <w:rsid w:val="00FB1A04"/>
    <w:rsid w:val="00FB27C6"/>
    <w:rsid w:val="00FB2841"/>
    <w:rsid w:val="00FB2CD4"/>
    <w:rsid w:val="00FB3263"/>
    <w:rsid w:val="00FB330B"/>
    <w:rsid w:val="00FB4244"/>
    <w:rsid w:val="00FB4A15"/>
    <w:rsid w:val="00FB4C80"/>
    <w:rsid w:val="00FB524B"/>
    <w:rsid w:val="00FB52BA"/>
    <w:rsid w:val="00FB5433"/>
    <w:rsid w:val="00FB5559"/>
    <w:rsid w:val="00FB5FAA"/>
    <w:rsid w:val="00FB6A6A"/>
    <w:rsid w:val="00FB6AF7"/>
    <w:rsid w:val="00FB72D9"/>
    <w:rsid w:val="00FB743F"/>
    <w:rsid w:val="00FB7CAE"/>
    <w:rsid w:val="00FC037F"/>
    <w:rsid w:val="00FC132F"/>
    <w:rsid w:val="00FC14D6"/>
    <w:rsid w:val="00FC224E"/>
    <w:rsid w:val="00FC2594"/>
    <w:rsid w:val="00FC2C6B"/>
    <w:rsid w:val="00FC2F90"/>
    <w:rsid w:val="00FC3CA0"/>
    <w:rsid w:val="00FC4AD0"/>
    <w:rsid w:val="00FC4F6C"/>
    <w:rsid w:val="00FC54BD"/>
    <w:rsid w:val="00FC6F85"/>
    <w:rsid w:val="00FC7413"/>
    <w:rsid w:val="00FC7429"/>
    <w:rsid w:val="00FC7653"/>
    <w:rsid w:val="00FC785A"/>
    <w:rsid w:val="00FC7868"/>
    <w:rsid w:val="00FC7E30"/>
    <w:rsid w:val="00FD0499"/>
    <w:rsid w:val="00FD07F6"/>
    <w:rsid w:val="00FD0F14"/>
    <w:rsid w:val="00FD1EC8"/>
    <w:rsid w:val="00FD231B"/>
    <w:rsid w:val="00FD2AEA"/>
    <w:rsid w:val="00FD2B52"/>
    <w:rsid w:val="00FD3011"/>
    <w:rsid w:val="00FD343D"/>
    <w:rsid w:val="00FD373C"/>
    <w:rsid w:val="00FD3A10"/>
    <w:rsid w:val="00FD3F3C"/>
    <w:rsid w:val="00FD3FB3"/>
    <w:rsid w:val="00FD405F"/>
    <w:rsid w:val="00FD47ED"/>
    <w:rsid w:val="00FD6174"/>
    <w:rsid w:val="00FD653F"/>
    <w:rsid w:val="00FD74DB"/>
    <w:rsid w:val="00FD7660"/>
    <w:rsid w:val="00FD79FB"/>
    <w:rsid w:val="00FE00B2"/>
    <w:rsid w:val="00FE0655"/>
    <w:rsid w:val="00FE0C3E"/>
    <w:rsid w:val="00FE0CDF"/>
    <w:rsid w:val="00FE0FE5"/>
    <w:rsid w:val="00FE1336"/>
    <w:rsid w:val="00FE2365"/>
    <w:rsid w:val="00FE24A9"/>
    <w:rsid w:val="00FE2A4D"/>
    <w:rsid w:val="00FE3B6F"/>
    <w:rsid w:val="00FE3C6C"/>
    <w:rsid w:val="00FE4C7B"/>
    <w:rsid w:val="00FE58D1"/>
    <w:rsid w:val="00FE5CEC"/>
    <w:rsid w:val="00FE6BDD"/>
    <w:rsid w:val="00FE7336"/>
    <w:rsid w:val="00FE787C"/>
    <w:rsid w:val="00FF0BB8"/>
    <w:rsid w:val="00FF0CE1"/>
    <w:rsid w:val="00FF10FD"/>
    <w:rsid w:val="00FF121F"/>
    <w:rsid w:val="00FF2D77"/>
    <w:rsid w:val="00FF3013"/>
    <w:rsid w:val="00FF303A"/>
    <w:rsid w:val="00FF45A5"/>
    <w:rsid w:val="00FF4A5C"/>
    <w:rsid w:val="00FF547E"/>
    <w:rsid w:val="00FF5517"/>
    <w:rsid w:val="00FF563C"/>
    <w:rsid w:val="00FF5C91"/>
    <w:rsid w:val="00FF5F49"/>
    <w:rsid w:val="00FF75B4"/>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B999A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4C257E"/>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link w:val="FooterChar"/>
    <w:uiPriority w:val="99"/>
    <w:qFormat/>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link w:val="TACChar"/>
    <w:rsid w:val="00A52210"/>
    <w:pPr>
      <w:jc w:val="center"/>
    </w:pPr>
  </w:style>
  <w:style w:type="paragraph" w:customStyle="1" w:styleId="TAH">
    <w:name w:val="TAH"/>
    <w:basedOn w:val="TAC"/>
    <w:link w:val="TAHCar"/>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 ??,?????,????,Lista1,列出段落,中等深浅网格 1 - 着色 21,목록 단락,リスト段落,列出段落1,列表段落,¥¡¡¡¡ì¬º¥¹¥È¶ÎÂä,ÁÐ³ö¶ÎÂä,列表段落1,—ño’i—Ž,¥ê¥¹¥È¶ÎÂä,1st level - Bullet List Paragraph,Lettre d'introduction,Paragrafo elenco,Normal bullet 2,Bullet list,목록단락,列"/>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 ?? Char,????? Char,???? Char,Lista1 Char,列出段落 Char,中等深浅网格 1 - 着色 21 Char,목록 단락 Char,リスト段落 Char,列出段落1 Char,列表段落 Char,¥¡¡¡¡ì¬º¥¹¥È¶ÎÂä Char,ÁÐ³ö¶ÎÂä Char,列表段落1 Char,—ño’i—Ž Char,¥ê¥¹¥È¶ÎÂä Char,Paragrafo elenco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paragraph" w:customStyle="1" w:styleId="a">
    <w:name w:val="样式 页眉"/>
    <w:basedOn w:val="Header"/>
    <w:link w:val="Char"/>
    <w:rsid w:val="00DE127F"/>
    <w:rPr>
      <w:rFonts w:eastAsia="Arial" w:cs="Times New Roman"/>
      <w:sz w:val="22"/>
      <w:szCs w:val="20"/>
      <w:lang w:val="en-GB" w:eastAsia="en-US"/>
    </w:rPr>
  </w:style>
  <w:style w:type="character" w:customStyle="1" w:styleId="Char">
    <w:name w:val="样式 页眉 Char"/>
    <w:basedOn w:val="DefaultParagraphFont"/>
    <w:link w:val="a"/>
    <w:rsid w:val="00DE127F"/>
    <w:rPr>
      <w:rFonts w:ascii="Arial" w:eastAsia="Arial" w:hAnsi="Arial"/>
      <w:b/>
      <w:bCs/>
      <w:noProof/>
      <w:sz w:val="22"/>
      <w:lang w:val="en-GB" w:eastAsia="en-US"/>
    </w:rPr>
  </w:style>
  <w:style w:type="character" w:customStyle="1" w:styleId="TAHCar">
    <w:name w:val="TAH Car"/>
    <w:link w:val="TAH"/>
    <w:locked/>
    <w:rsid w:val="00ED4362"/>
    <w:rPr>
      <w:rFonts w:ascii="Times New Roman" w:hAnsi="Times New Roman"/>
      <w:b/>
      <w:sz w:val="18"/>
      <w:szCs w:val="24"/>
      <w:lang w:eastAsia="en-US"/>
    </w:rPr>
  </w:style>
  <w:style w:type="character" w:customStyle="1" w:styleId="TACChar">
    <w:name w:val="TAC Char"/>
    <w:link w:val="TAC"/>
    <w:rsid w:val="00ED4362"/>
    <w:rPr>
      <w:rFonts w:ascii="Times New Roman" w:hAnsi="Times New Roman"/>
      <w:sz w:val="18"/>
      <w:szCs w:val="24"/>
      <w:lang w:eastAsia="en-US"/>
    </w:rPr>
  </w:style>
  <w:style w:type="character" w:customStyle="1" w:styleId="apple-converted-space">
    <w:name w:val="apple-converted-space"/>
    <w:basedOn w:val="DefaultParagraphFont"/>
    <w:rsid w:val="000048A7"/>
  </w:style>
  <w:style w:type="character" w:customStyle="1" w:styleId="FooterChar">
    <w:name w:val="Footer Char"/>
    <w:link w:val="Footer"/>
    <w:uiPriority w:val="99"/>
    <w:rsid w:val="005F5616"/>
    <w:rPr>
      <w:rFonts w:ascii="Arial" w:hAnsi="Arial" w:cs="Arial"/>
      <w:b/>
      <w:bCs/>
      <w:i/>
      <w:iCs/>
      <w:noProof/>
      <w:sz w:val="18"/>
      <w:szCs w:val="18"/>
    </w:rPr>
  </w:style>
  <w:style w:type="paragraph" w:customStyle="1" w:styleId="3GPPAgreements">
    <w:name w:val="3GPP Agreements"/>
    <w:basedOn w:val="Normal"/>
    <w:link w:val="3GPPAgreementsChar"/>
    <w:qFormat/>
    <w:rsid w:val="007055C7"/>
    <w:pPr>
      <w:numPr>
        <w:numId w:val="14"/>
      </w:numPr>
      <w:overflowPunct w:val="0"/>
      <w:autoSpaceDE w:val="0"/>
      <w:autoSpaceDN w:val="0"/>
      <w:adjustRightInd w:val="0"/>
      <w:spacing w:before="60" w:after="60"/>
      <w:jc w:val="both"/>
      <w:textAlignment w:val="baseline"/>
    </w:pPr>
    <w:rPr>
      <w:rFonts w:eastAsia="SimSun"/>
      <w:sz w:val="22"/>
      <w:szCs w:val="20"/>
    </w:rPr>
  </w:style>
  <w:style w:type="character" w:customStyle="1" w:styleId="3GPPAgreementsChar">
    <w:name w:val="3GPP Agreements Char"/>
    <w:link w:val="3GPPAgreements"/>
    <w:rsid w:val="007055C7"/>
    <w:rPr>
      <w:rFonts w:ascii="Times New Roman" w:eastAsia="SimSun" w:hAnsi="Times New Roman"/>
      <w:sz w:val="22"/>
    </w:rPr>
  </w:style>
  <w:style w:type="paragraph" w:customStyle="1" w:styleId="Eqn">
    <w:name w:val="Eqn"/>
    <w:basedOn w:val="Normal"/>
    <w:qFormat/>
    <w:rsid w:val="009970CC"/>
    <w:pPr>
      <w:tabs>
        <w:tab w:val="center" w:pos="4608"/>
        <w:tab w:val="right" w:pos="9216"/>
      </w:tabs>
      <w:autoSpaceDE w:val="0"/>
      <w:autoSpaceDN w:val="0"/>
      <w:adjustRightInd w:val="0"/>
      <w:snapToGrid w:val="0"/>
      <w:spacing w:after="120"/>
      <w:jc w:val="both"/>
    </w:pPr>
    <w:rPr>
      <w:rFonts w:eastAsia="SimSun"/>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66478275">
      <w:bodyDiv w:val="1"/>
      <w:marLeft w:val="0"/>
      <w:marRight w:val="0"/>
      <w:marTop w:val="0"/>
      <w:marBottom w:val="0"/>
      <w:divBdr>
        <w:top w:val="none" w:sz="0" w:space="0" w:color="auto"/>
        <w:left w:val="none" w:sz="0" w:space="0" w:color="auto"/>
        <w:bottom w:val="none" w:sz="0" w:space="0" w:color="auto"/>
        <w:right w:val="none" w:sz="0" w:space="0" w:color="auto"/>
      </w:divBdr>
    </w:div>
    <w:div w:id="175266765">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0592447">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390692368">
      <w:bodyDiv w:val="1"/>
      <w:marLeft w:val="0"/>
      <w:marRight w:val="0"/>
      <w:marTop w:val="0"/>
      <w:marBottom w:val="0"/>
      <w:divBdr>
        <w:top w:val="none" w:sz="0" w:space="0" w:color="auto"/>
        <w:left w:val="none" w:sz="0" w:space="0" w:color="auto"/>
        <w:bottom w:val="none" w:sz="0" w:space="0" w:color="auto"/>
        <w:right w:val="none" w:sz="0" w:space="0" w:color="auto"/>
      </w:divBdr>
    </w:div>
    <w:div w:id="440733456">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48671453">
      <w:bodyDiv w:val="1"/>
      <w:marLeft w:val="0"/>
      <w:marRight w:val="0"/>
      <w:marTop w:val="0"/>
      <w:marBottom w:val="0"/>
      <w:divBdr>
        <w:top w:val="none" w:sz="0" w:space="0" w:color="auto"/>
        <w:left w:val="none" w:sz="0" w:space="0" w:color="auto"/>
        <w:bottom w:val="none" w:sz="0" w:space="0" w:color="auto"/>
        <w:right w:val="none" w:sz="0" w:space="0" w:color="auto"/>
      </w:divBdr>
    </w:div>
    <w:div w:id="457726638">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77195797">
      <w:bodyDiv w:val="1"/>
      <w:marLeft w:val="0"/>
      <w:marRight w:val="0"/>
      <w:marTop w:val="0"/>
      <w:marBottom w:val="0"/>
      <w:divBdr>
        <w:top w:val="none" w:sz="0" w:space="0" w:color="auto"/>
        <w:left w:val="none" w:sz="0" w:space="0" w:color="auto"/>
        <w:bottom w:val="none" w:sz="0" w:space="0" w:color="auto"/>
        <w:right w:val="none" w:sz="0" w:space="0" w:color="auto"/>
      </w:divBdr>
    </w:div>
    <w:div w:id="692003472">
      <w:bodyDiv w:val="1"/>
      <w:marLeft w:val="0"/>
      <w:marRight w:val="0"/>
      <w:marTop w:val="0"/>
      <w:marBottom w:val="0"/>
      <w:divBdr>
        <w:top w:val="none" w:sz="0" w:space="0" w:color="auto"/>
        <w:left w:val="none" w:sz="0" w:space="0" w:color="auto"/>
        <w:bottom w:val="none" w:sz="0" w:space="0" w:color="auto"/>
        <w:right w:val="none" w:sz="0" w:space="0" w:color="auto"/>
      </w:divBdr>
      <w:divsChild>
        <w:div w:id="232354439">
          <w:marLeft w:val="634"/>
          <w:marRight w:val="0"/>
          <w:marTop w:val="96"/>
          <w:marBottom w:val="0"/>
          <w:divBdr>
            <w:top w:val="none" w:sz="0" w:space="0" w:color="auto"/>
            <w:left w:val="none" w:sz="0" w:space="0" w:color="auto"/>
            <w:bottom w:val="none" w:sz="0" w:space="0" w:color="auto"/>
            <w:right w:val="none" w:sz="0" w:space="0" w:color="auto"/>
          </w:divBdr>
        </w:div>
        <w:div w:id="372266776">
          <w:marLeft w:val="634"/>
          <w:marRight w:val="0"/>
          <w:marTop w:val="96"/>
          <w:marBottom w:val="0"/>
          <w:divBdr>
            <w:top w:val="none" w:sz="0" w:space="0" w:color="auto"/>
            <w:left w:val="none" w:sz="0" w:space="0" w:color="auto"/>
            <w:bottom w:val="none" w:sz="0" w:space="0" w:color="auto"/>
            <w:right w:val="none" w:sz="0" w:space="0" w:color="auto"/>
          </w:divBdr>
        </w:div>
        <w:div w:id="626936274">
          <w:marLeft w:val="1267"/>
          <w:marRight w:val="0"/>
          <w:marTop w:val="77"/>
          <w:marBottom w:val="0"/>
          <w:divBdr>
            <w:top w:val="none" w:sz="0" w:space="0" w:color="auto"/>
            <w:left w:val="none" w:sz="0" w:space="0" w:color="auto"/>
            <w:bottom w:val="none" w:sz="0" w:space="0" w:color="auto"/>
            <w:right w:val="none" w:sz="0" w:space="0" w:color="auto"/>
          </w:divBdr>
        </w:div>
        <w:div w:id="546574273">
          <w:marLeft w:val="1267"/>
          <w:marRight w:val="0"/>
          <w:marTop w:val="77"/>
          <w:marBottom w:val="0"/>
          <w:divBdr>
            <w:top w:val="none" w:sz="0" w:space="0" w:color="auto"/>
            <w:left w:val="none" w:sz="0" w:space="0" w:color="auto"/>
            <w:bottom w:val="none" w:sz="0" w:space="0" w:color="auto"/>
            <w:right w:val="none" w:sz="0" w:space="0" w:color="auto"/>
          </w:divBdr>
        </w:div>
        <w:div w:id="460881463">
          <w:marLeft w:val="1267"/>
          <w:marRight w:val="0"/>
          <w:marTop w:val="77"/>
          <w:marBottom w:val="0"/>
          <w:divBdr>
            <w:top w:val="none" w:sz="0" w:space="0" w:color="auto"/>
            <w:left w:val="none" w:sz="0" w:space="0" w:color="auto"/>
            <w:bottom w:val="none" w:sz="0" w:space="0" w:color="auto"/>
            <w:right w:val="none" w:sz="0" w:space="0" w:color="auto"/>
          </w:divBdr>
        </w:div>
        <w:div w:id="843664733">
          <w:marLeft w:val="634"/>
          <w:marRight w:val="0"/>
          <w:marTop w:val="96"/>
          <w:marBottom w:val="0"/>
          <w:divBdr>
            <w:top w:val="none" w:sz="0" w:space="0" w:color="auto"/>
            <w:left w:val="none" w:sz="0" w:space="0" w:color="auto"/>
            <w:bottom w:val="none" w:sz="0" w:space="0" w:color="auto"/>
            <w:right w:val="none" w:sz="0" w:space="0" w:color="auto"/>
          </w:divBdr>
        </w:div>
        <w:div w:id="1387797800">
          <w:marLeft w:val="634"/>
          <w:marRight w:val="0"/>
          <w:marTop w:val="96"/>
          <w:marBottom w:val="0"/>
          <w:divBdr>
            <w:top w:val="none" w:sz="0" w:space="0" w:color="auto"/>
            <w:left w:val="none" w:sz="0" w:space="0" w:color="auto"/>
            <w:bottom w:val="none" w:sz="0" w:space="0" w:color="auto"/>
            <w:right w:val="none" w:sz="0" w:space="0" w:color="auto"/>
          </w:divBdr>
        </w:div>
      </w:divsChild>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18231862">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42545967">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047874745">
      <w:bodyDiv w:val="1"/>
      <w:marLeft w:val="0"/>
      <w:marRight w:val="0"/>
      <w:marTop w:val="0"/>
      <w:marBottom w:val="0"/>
      <w:divBdr>
        <w:top w:val="none" w:sz="0" w:space="0" w:color="auto"/>
        <w:left w:val="none" w:sz="0" w:space="0" w:color="auto"/>
        <w:bottom w:val="none" w:sz="0" w:space="0" w:color="auto"/>
        <w:right w:val="none" w:sz="0" w:space="0" w:color="auto"/>
      </w:divBdr>
      <w:divsChild>
        <w:div w:id="474299828">
          <w:marLeft w:val="360"/>
          <w:marRight w:val="0"/>
          <w:marTop w:val="200"/>
          <w:marBottom w:val="0"/>
          <w:divBdr>
            <w:top w:val="none" w:sz="0" w:space="0" w:color="auto"/>
            <w:left w:val="none" w:sz="0" w:space="0" w:color="auto"/>
            <w:bottom w:val="none" w:sz="0" w:space="0" w:color="auto"/>
            <w:right w:val="none" w:sz="0" w:space="0" w:color="auto"/>
          </w:divBdr>
        </w:div>
        <w:div w:id="221602787">
          <w:marLeft w:val="1080"/>
          <w:marRight w:val="0"/>
          <w:marTop w:val="100"/>
          <w:marBottom w:val="0"/>
          <w:divBdr>
            <w:top w:val="none" w:sz="0" w:space="0" w:color="auto"/>
            <w:left w:val="none" w:sz="0" w:space="0" w:color="auto"/>
            <w:bottom w:val="none" w:sz="0" w:space="0" w:color="auto"/>
            <w:right w:val="none" w:sz="0" w:space="0" w:color="auto"/>
          </w:divBdr>
        </w:div>
        <w:div w:id="2051999436">
          <w:marLeft w:val="1800"/>
          <w:marRight w:val="0"/>
          <w:marTop w:val="100"/>
          <w:marBottom w:val="0"/>
          <w:divBdr>
            <w:top w:val="none" w:sz="0" w:space="0" w:color="auto"/>
            <w:left w:val="none" w:sz="0" w:space="0" w:color="auto"/>
            <w:bottom w:val="none" w:sz="0" w:space="0" w:color="auto"/>
            <w:right w:val="none" w:sz="0" w:space="0" w:color="auto"/>
          </w:divBdr>
        </w:div>
        <w:div w:id="165176994">
          <w:marLeft w:val="1800"/>
          <w:marRight w:val="0"/>
          <w:marTop w:val="100"/>
          <w:marBottom w:val="0"/>
          <w:divBdr>
            <w:top w:val="none" w:sz="0" w:space="0" w:color="auto"/>
            <w:left w:val="none" w:sz="0" w:space="0" w:color="auto"/>
            <w:bottom w:val="none" w:sz="0" w:space="0" w:color="auto"/>
            <w:right w:val="none" w:sz="0" w:space="0" w:color="auto"/>
          </w:divBdr>
        </w:div>
        <w:div w:id="80178069">
          <w:marLeft w:val="1800"/>
          <w:marRight w:val="0"/>
          <w:marTop w:val="100"/>
          <w:marBottom w:val="0"/>
          <w:divBdr>
            <w:top w:val="none" w:sz="0" w:space="0" w:color="auto"/>
            <w:left w:val="none" w:sz="0" w:space="0" w:color="auto"/>
            <w:bottom w:val="none" w:sz="0" w:space="0" w:color="auto"/>
            <w:right w:val="none" w:sz="0" w:space="0" w:color="auto"/>
          </w:divBdr>
        </w:div>
        <w:div w:id="965501652">
          <w:marLeft w:val="1800"/>
          <w:marRight w:val="0"/>
          <w:marTop w:val="100"/>
          <w:marBottom w:val="0"/>
          <w:divBdr>
            <w:top w:val="none" w:sz="0" w:space="0" w:color="auto"/>
            <w:left w:val="none" w:sz="0" w:space="0" w:color="auto"/>
            <w:bottom w:val="none" w:sz="0" w:space="0" w:color="auto"/>
            <w:right w:val="none" w:sz="0" w:space="0" w:color="auto"/>
          </w:divBdr>
        </w:div>
        <w:div w:id="432482530">
          <w:marLeft w:val="1080"/>
          <w:marRight w:val="0"/>
          <w:marTop w:val="100"/>
          <w:marBottom w:val="0"/>
          <w:divBdr>
            <w:top w:val="none" w:sz="0" w:space="0" w:color="auto"/>
            <w:left w:val="none" w:sz="0" w:space="0" w:color="auto"/>
            <w:bottom w:val="none" w:sz="0" w:space="0" w:color="auto"/>
            <w:right w:val="none" w:sz="0" w:space="0" w:color="auto"/>
          </w:divBdr>
        </w:div>
        <w:div w:id="1612933199">
          <w:marLeft w:val="1080"/>
          <w:marRight w:val="0"/>
          <w:marTop w:val="100"/>
          <w:marBottom w:val="0"/>
          <w:divBdr>
            <w:top w:val="none" w:sz="0" w:space="0" w:color="auto"/>
            <w:left w:val="none" w:sz="0" w:space="0" w:color="auto"/>
            <w:bottom w:val="none" w:sz="0" w:space="0" w:color="auto"/>
            <w:right w:val="none" w:sz="0" w:space="0" w:color="auto"/>
          </w:divBdr>
        </w:div>
      </w:divsChild>
    </w:div>
    <w:div w:id="1051080293">
      <w:bodyDiv w:val="1"/>
      <w:marLeft w:val="0"/>
      <w:marRight w:val="0"/>
      <w:marTop w:val="0"/>
      <w:marBottom w:val="0"/>
      <w:divBdr>
        <w:top w:val="none" w:sz="0" w:space="0" w:color="auto"/>
        <w:left w:val="none" w:sz="0" w:space="0" w:color="auto"/>
        <w:bottom w:val="none" w:sz="0" w:space="0" w:color="auto"/>
        <w:right w:val="none" w:sz="0" w:space="0" w:color="auto"/>
      </w:divBdr>
    </w:div>
    <w:div w:id="1080828443">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33808746">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48093231">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1583507">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13679098">
      <w:bodyDiv w:val="1"/>
      <w:marLeft w:val="0"/>
      <w:marRight w:val="0"/>
      <w:marTop w:val="0"/>
      <w:marBottom w:val="0"/>
      <w:divBdr>
        <w:top w:val="none" w:sz="0" w:space="0" w:color="auto"/>
        <w:left w:val="none" w:sz="0" w:space="0" w:color="auto"/>
        <w:bottom w:val="none" w:sz="0" w:space="0" w:color="auto"/>
        <w:right w:val="none" w:sz="0" w:space="0" w:color="auto"/>
      </w:divBdr>
      <w:divsChild>
        <w:div w:id="250432041">
          <w:marLeft w:val="360"/>
          <w:marRight w:val="0"/>
          <w:marTop w:val="200"/>
          <w:marBottom w:val="0"/>
          <w:divBdr>
            <w:top w:val="none" w:sz="0" w:space="0" w:color="auto"/>
            <w:left w:val="none" w:sz="0" w:space="0" w:color="auto"/>
            <w:bottom w:val="none" w:sz="0" w:space="0" w:color="auto"/>
            <w:right w:val="none" w:sz="0" w:space="0" w:color="auto"/>
          </w:divBdr>
        </w:div>
        <w:div w:id="1595505641">
          <w:marLeft w:val="1080"/>
          <w:marRight w:val="0"/>
          <w:marTop w:val="100"/>
          <w:marBottom w:val="0"/>
          <w:divBdr>
            <w:top w:val="none" w:sz="0" w:space="0" w:color="auto"/>
            <w:left w:val="none" w:sz="0" w:space="0" w:color="auto"/>
            <w:bottom w:val="none" w:sz="0" w:space="0" w:color="auto"/>
            <w:right w:val="none" w:sz="0" w:space="0" w:color="auto"/>
          </w:divBdr>
        </w:div>
        <w:div w:id="1601798024">
          <w:marLeft w:val="1080"/>
          <w:marRight w:val="0"/>
          <w:marTop w:val="100"/>
          <w:marBottom w:val="0"/>
          <w:divBdr>
            <w:top w:val="none" w:sz="0" w:space="0" w:color="auto"/>
            <w:left w:val="none" w:sz="0" w:space="0" w:color="auto"/>
            <w:bottom w:val="none" w:sz="0" w:space="0" w:color="auto"/>
            <w:right w:val="none" w:sz="0" w:space="0" w:color="auto"/>
          </w:divBdr>
        </w:div>
        <w:div w:id="595867329">
          <w:marLeft w:val="360"/>
          <w:marRight w:val="0"/>
          <w:marTop w:val="200"/>
          <w:marBottom w:val="0"/>
          <w:divBdr>
            <w:top w:val="none" w:sz="0" w:space="0" w:color="auto"/>
            <w:left w:val="none" w:sz="0" w:space="0" w:color="auto"/>
            <w:bottom w:val="none" w:sz="0" w:space="0" w:color="auto"/>
            <w:right w:val="none" w:sz="0" w:space="0" w:color="auto"/>
          </w:divBdr>
        </w:div>
        <w:div w:id="1356617696">
          <w:marLeft w:val="1080"/>
          <w:marRight w:val="0"/>
          <w:marTop w:val="100"/>
          <w:marBottom w:val="0"/>
          <w:divBdr>
            <w:top w:val="none" w:sz="0" w:space="0" w:color="auto"/>
            <w:left w:val="none" w:sz="0" w:space="0" w:color="auto"/>
            <w:bottom w:val="none" w:sz="0" w:space="0" w:color="auto"/>
            <w:right w:val="none" w:sz="0" w:space="0" w:color="auto"/>
          </w:divBdr>
        </w:div>
        <w:div w:id="1256667531">
          <w:marLeft w:val="1080"/>
          <w:marRight w:val="0"/>
          <w:marTop w:val="100"/>
          <w:marBottom w:val="0"/>
          <w:divBdr>
            <w:top w:val="none" w:sz="0" w:space="0" w:color="auto"/>
            <w:left w:val="none" w:sz="0" w:space="0" w:color="auto"/>
            <w:bottom w:val="none" w:sz="0" w:space="0" w:color="auto"/>
            <w:right w:val="none" w:sz="0" w:space="0" w:color="auto"/>
          </w:divBdr>
        </w:div>
        <w:div w:id="1187595952">
          <w:marLeft w:val="360"/>
          <w:marRight w:val="0"/>
          <w:marTop w:val="200"/>
          <w:marBottom w:val="0"/>
          <w:divBdr>
            <w:top w:val="none" w:sz="0" w:space="0" w:color="auto"/>
            <w:left w:val="none" w:sz="0" w:space="0" w:color="auto"/>
            <w:bottom w:val="none" w:sz="0" w:space="0" w:color="auto"/>
            <w:right w:val="none" w:sz="0" w:space="0" w:color="auto"/>
          </w:divBdr>
        </w:div>
        <w:div w:id="89476831">
          <w:marLeft w:val="1080"/>
          <w:marRight w:val="0"/>
          <w:marTop w:val="100"/>
          <w:marBottom w:val="0"/>
          <w:divBdr>
            <w:top w:val="none" w:sz="0" w:space="0" w:color="auto"/>
            <w:left w:val="none" w:sz="0" w:space="0" w:color="auto"/>
            <w:bottom w:val="none" w:sz="0" w:space="0" w:color="auto"/>
            <w:right w:val="none" w:sz="0" w:space="0" w:color="auto"/>
          </w:divBdr>
        </w:div>
        <w:div w:id="321810548">
          <w:marLeft w:val="1080"/>
          <w:marRight w:val="0"/>
          <w:marTop w:val="100"/>
          <w:marBottom w:val="0"/>
          <w:divBdr>
            <w:top w:val="none" w:sz="0" w:space="0" w:color="auto"/>
            <w:left w:val="none" w:sz="0" w:space="0" w:color="auto"/>
            <w:bottom w:val="none" w:sz="0" w:space="0" w:color="auto"/>
            <w:right w:val="none" w:sz="0" w:space="0" w:color="auto"/>
          </w:divBdr>
        </w:div>
        <w:div w:id="29696360">
          <w:marLeft w:val="360"/>
          <w:marRight w:val="0"/>
          <w:marTop w:val="200"/>
          <w:marBottom w:val="0"/>
          <w:divBdr>
            <w:top w:val="none" w:sz="0" w:space="0" w:color="auto"/>
            <w:left w:val="none" w:sz="0" w:space="0" w:color="auto"/>
            <w:bottom w:val="none" w:sz="0" w:space="0" w:color="auto"/>
            <w:right w:val="none" w:sz="0" w:space="0" w:color="auto"/>
          </w:divBdr>
        </w:div>
        <w:div w:id="379599550">
          <w:marLeft w:val="1080"/>
          <w:marRight w:val="0"/>
          <w:marTop w:val="100"/>
          <w:marBottom w:val="0"/>
          <w:divBdr>
            <w:top w:val="none" w:sz="0" w:space="0" w:color="auto"/>
            <w:left w:val="none" w:sz="0" w:space="0" w:color="auto"/>
            <w:bottom w:val="none" w:sz="0" w:space="0" w:color="auto"/>
            <w:right w:val="none" w:sz="0" w:space="0" w:color="auto"/>
          </w:divBdr>
        </w:div>
        <w:div w:id="279384722">
          <w:marLeft w:val="1080"/>
          <w:marRight w:val="0"/>
          <w:marTop w:val="100"/>
          <w:marBottom w:val="0"/>
          <w:divBdr>
            <w:top w:val="none" w:sz="0" w:space="0" w:color="auto"/>
            <w:left w:val="none" w:sz="0" w:space="0" w:color="auto"/>
            <w:bottom w:val="none" w:sz="0" w:space="0" w:color="auto"/>
            <w:right w:val="none" w:sz="0" w:space="0" w:color="auto"/>
          </w:divBdr>
        </w:div>
      </w:divsChild>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57121897">
      <w:bodyDiv w:val="1"/>
      <w:marLeft w:val="0"/>
      <w:marRight w:val="0"/>
      <w:marTop w:val="0"/>
      <w:marBottom w:val="0"/>
      <w:divBdr>
        <w:top w:val="none" w:sz="0" w:space="0" w:color="auto"/>
        <w:left w:val="none" w:sz="0" w:space="0" w:color="auto"/>
        <w:bottom w:val="none" w:sz="0" w:space="0" w:color="auto"/>
        <w:right w:val="none" w:sz="0" w:space="0" w:color="auto"/>
      </w:divBdr>
      <w:divsChild>
        <w:div w:id="672102480">
          <w:marLeft w:val="547"/>
          <w:marRight w:val="0"/>
          <w:marTop w:val="106"/>
          <w:marBottom w:val="0"/>
          <w:divBdr>
            <w:top w:val="none" w:sz="0" w:space="0" w:color="auto"/>
            <w:left w:val="none" w:sz="0" w:space="0" w:color="auto"/>
            <w:bottom w:val="none" w:sz="0" w:space="0" w:color="auto"/>
            <w:right w:val="none" w:sz="0" w:space="0" w:color="auto"/>
          </w:divBdr>
        </w:div>
        <w:div w:id="1652176694">
          <w:marLeft w:val="1166"/>
          <w:marRight w:val="0"/>
          <w:marTop w:val="96"/>
          <w:marBottom w:val="0"/>
          <w:divBdr>
            <w:top w:val="none" w:sz="0" w:space="0" w:color="auto"/>
            <w:left w:val="none" w:sz="0" w:space="0" w:color="auto"/>
            <w:bottom w:val="none" w:sz="0" w:space="0" w:color="auto"/>
            <w:right w:val="none" w:sz="0" w:space="0" w:color="auto"/>
          </w:divBdr>
        </w:div>
        <w:div w:id="1081296297">
          <w:marLeft w:val="547"/>
          <w:marRight w:val="0"/>
          <w:marTop w:val="106"/>
          <w:marBottom w:val="0"/>
          <w:divBdr>
            <w:top w:val="none" w:sz="0" w:space="0" w:color="auto"/>
            <w:left w:val="none" w:sz="0" w:space="0" w:color="auto"/>
            <w:bottom w:val="none" w:sz="0" w:space="0" w:color="auto"/>
            <w:right w:val="none" w:sz="0" w:space="0" w:color="auto"/>
          </w:divBdr>
        </w:div>
        <w:div w:id="2133746233">
          <w:marLeft w:val="1166"/>
          <w:marRight w:val="0"/>
          <w:marTop w:val="96"/>
          <w:marBottom w:val="0"/>
          <w:divBdr>
            <w:top w:val="none" w:sz="0" w:space="0" w:color="auto"/>
            <w:left w:val="none" w:sz="0" w:space="0" w:color="auto"/>
            <w:bottom w:val="none" w:sz="0" w:space="0" w:color="auto"/>
            <w:right w:val="none" w:sz="0" w:space="0" w:color="auto"/>
          </w:divBdr>
        </w:div>
        <w:div w:id="1976371860">
          <w:marLeft w:val="1800"/>
          <w:marRight w:val="0"/>
          <w:marTop w:val="82"/>
          <w:marBottom w:val="0"/>
          <w:divBdr>
            <w:top w:val="none" w:sz="0" w:space="0" w:color="auto"/>
            <w:left w:val="none" w:sz="0" w:space="0" w:color="auto"/>
            <w:bottom w:val="none" w:sz="0" w:space="0" w:color="auto"/>
            <w:right w:val="none" w:sz="0" w:space="0" w:color="auto"/>
          </w:divBdr>
        </w:div>
        <w:div w:id="433984220">
          <w:marLeft w:val="1800"/>
          <w:marRight w:val="0"/>
          <w:marTop w:val="82"/>
          <w:marBottom w:val="0"/>
          <w:divBdr>
            <w:top w:val="none" w:sz="0" w:space="0" w:color="auto"/>
            <w:left w:val="none" w:sz="0" w:space="0" w:color="auto"/>
            <w:bottom w:val="none" w:sz="0" w:space="0" w:color="auto"/>
            <w:right w:val="none" w:sz="0" w:space="0" w:color="auto"/>
          </w:divBdr>
        </w:div>
        <w:div w:id="578758842">
          <w:marLeft w:val="547"/>
          <w:marRight w:val="0"/>
          <w:marTop w:val="106"/>
          <w:marBottom w:val="0"/>
          <w:divBdr>
            <w:top w:val="none" w:sz="0" w:space="0" w:color="auto"/>
            <w:left w:val="none" w:sz="0" w:space="0" w:color="auto"/>
            <w:bottom w:val="none" w:sz="0" w:space="0" w:color="auto"/>
            <w:right w:val="none" w:sz="0" w:space="0" w:color="auto"/>
          </w:divBdr>
        </w:div>
        <w:div w:id="284772517">
          <w:marLeft w:val="547"/>
          <w:marRight w:val="0"/>
          <w:marTop w:val="106"/>
          <w:marBottom w:val="0"/>
          <w:divBdr>
            <w:top w:val="none" w:sz="0" w:space="0" w:color="auto"/>
            <w:left w:val="none" w:sz="0" w:space="0" w:color="auto"/>
            <w:bottom w:val="none" w:sz="0" w:space="0" w:color="auto"/>
            <w:right w:val="none" w:sz="0" w:space="0" w:color="auto"/>
          </w:divBdr>
        </w:div>
      </w:divsChild>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4253902">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E61F01-06C9-6046-98E5-A63C7AAE20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C:\Data\SVN\swea\Swea-L23\RAN2_91_Beijing\Ericsson Contributions\R2-15xxxx - Contribution template.dot</Template>
  <TotalTime>497</TotalTime>
  <Pages>5</Pages>
  <Words>1696</Words>
  <Characters>9672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11346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44</cp:revision>
  <cp:lastPrinted>2020-01-28T01:17:00Z</cp:lastPrinted>
  <dcterms:created xsi:type="dcterms:W3CDTF">2019-09-23T20:25:00Z</dcterms:created>
  <dcterms:modified xsi:type="dcterms:W3CDTF">2021-05-10T23:07:00Z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2016-08-09T10:00:00Z</vt:filetime>
  </property>
</Properties>
</file>